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AA777D"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29.12.2017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Pr="00A217F4" w:rsidRDefault="00AA777D"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0D470B" w:rsidRDefault="000D470B" w:rsidP="00C53DE9">
      <w:pPr>
        <w:spacing w:line="276" w:lineRule="auto"/>
        <w:jc w:val="center"/>
        <w:rPr>
          <w:rFonts w:asciiTheme="minorHAnsi" w:eastAsia="Calibri" w:hAnsiTheme="minorHAnsi"/>
          <w:b/>
          <w:color w:val="002060"/>
          <w:sz w:val="40"/>
          <w:szCs w:val="40"/>
        </w:rPr>
      </w:pPr>
    </w:p>
    <w:p w:rsidR="00AA777D" w:rsidRPr="00AA777D" w:rsidRDefault="00AA777D" w:rsidP="00AA777D">
      <w:pPr>
        <w:spacing w:line="256" w:lineRule="auto"/>
        <w:jc w:val="center"/>
        <w:rPr>
          <w:rFonts w:ascii="Calibri" w:hAnsi="Calibri"/>
          <w:b/>
          <w:bCs/>
          <w:caps/>
          <w:color w:val="002060"/>
          <w:kern w:val="3"/>
          <w:sz w:val="32"/>
          <w:szCs w:val="32"/>
          <w:lang w:eastAsia="en-AU"/>
        </w:rPr>
      </w:pPr>
      <w:r w:rsidRPr="00AA777D">
        <w:rPr>
          <w:rFonts w:ascii="Calibri" w:hAnsi="Calibri"/>
          <w:b/>
          <w:bCs/>
          <w:caps/>
          <w:color w:val="002060"/>
          <w:kern w:val="3"/>
          <w:sz w:val="32"/>
          <w:szCs w:val="32"/>
          <w:lang w:eastAsia="en-AU"/>
        </w:rPr>
        <w:t>Prognozy wynagrodzeń w Europie na 2018 rok</w:t>
      </w:r>
    </w:p>
    <w:p w:rsidR="00AA777D" w:rsidRPr="00AA777D" w:rsidRDefault="00AA777D" w:rsidP="00AA777D">
      <w:pPr>
        <w:spacing w:line="276" w:lineRule="auto"/>
        <w:jc w:val="both"/>
        <w:rPr>
          <w:rFonts w:ascii="Calibri" w:eastAsia="Calibri" w:hAnsi="Calibri" w:cs="Arial"/>
          <w:b/>
          <w:bCs/>
        </w:rPr>
      </w:pPr>
    </w:p>
    <w:p w:rsidR="00AA777D" w:rsidRPr="00AA777D" w:rsidRDefault="00AA777D" w:rsidP="00AA777D">
      <w:pPr>
        <w:spacing w:line="276" w:lineRule="auto"/>
        <w:jc w:val="both"/>
        <w:rPr>
          <w:rFonts w:ascii="Calibri" w:eastAsia="Calibri" w:hAnsi="Calibri" w:cs="Arial"/>
          <w:b/>
        </w:rPr>
      </w:pPr>
      <w:r w:rsidRPr="00AA777D">
        <w:rPr>
          <w:rFonts w:ascii="Calibri" w:eastAsia="Calibri" w:hAnsi="Calibri" w:cs="Arial"/>
          <w:b/>
          <w:bCs/>
        </w:rPr>
        <w:t xml:space="preserve">Końcowe miesiące roku to dla większości menedżerów i specjalistów HR czas ustalania budżetów na kolejny rok. </w:t>
      </w:r>
      <w:r w:rsidRPr="00AA777D">
        <w:rPr>
          <w:rFonts w:ascii="Calibri" w:eastAsia="Calibri" w:hAnsi="Calibri" w:cs="Arial"/>
          <w:b/>
        </w:rPr>
        <w:t>Dla wielu organizacji dużym wyzwaniem staje się trafne prognozowanie wzrostu płac, co zapewnia możliwość odpowiedniej indeksacji wynagrodzeń, a tym samym utrzymanie konkurencyjności na rynku. Według szacunków Unii Europejskiej w nadchodzącym roku Polska odnotuje jeden z najwyższych wzrostów gospodarczych w Unii Europejskiej. Wzrost ten przełoży się na dynamikę zarobków osób pracujących w Polsce.</w:t>
      </w:r>
    </w:p>
    <w:p w:rsidR="00AA777D" w:rsidRPr="00AA777D" w:rsidRDefault="00AA777D" w:rsidP="00AA777D">
      <w:pPr>
        <w:spacing w:line="276" w:lineRule="auto"/>
        <w:rPr>
          <w:rFonts w:ascii="Calibri" w:eastAsia="Calibri" w:hAnsi="Calibri"/>
          <w:b/>
          <w:color w:val="002060"/>
          <w:szCs w:val="22"/>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Omawiając prognozy wynagrodzeń na 2018 rok, warto przedstawić projekcje innych wskaźników gospodarczych. Z punktu widzenia wynagrodzeń ważnymi wskaźnikami są: wzrost gospodarczy, inflacja, produktywność pracy oraz bezrobocie. </w:t>
      </w:r>
    </w:p>
    <w:p w:rsidR="00AA777D" w:rsidRPr="00AA777D" w:rsidRDefault="00AA777D" w:rsidP="00AA777D">
      <w:pPr>
        <w:spacing w:line="276" w:lineRule="auto"/>
        <w:rPr>
          <w:rFonts w:ascii="Calibri" w:eastAsia="Calibri" w:hAnsi="Calibri" w:cs="Arial"/>
          <w:b/>
        </w:rPr>
      </w:pP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t>Wynagrodzenia a inflacja</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Według projekcji Komisji Europejskiej najwyższa inflacja, liczona w stosunku do roku poprzedniego, wśród krajów Unii Europejskiej w omawianym okresie wystąpi na Węgrzech (3,2%), w Rumunii (3%) i w Estonii (2,9%). Według prognoz inflacja w Polsce wyniesie 2,1%, a wartość wskaźnika dla całej Unii Europejskiej 1,6%.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Dynamika wzrostu wynagrodzeń w Unii Europejskiej ma być wyższa w porównaniu do mijającego roku. Prognozowany realny wzrost wynagrodzeń w Unii Europejskiej ma wynieść 0,8%, w porównaniu z dynamiką wynoszącą 0,4% w 2017 roku. Z kolei w całej strefie euro wynagrodzenia realne wzrosną o 0,7%.</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Schemat 1. Prognozowany wzrost wynagrodzeń w krajach Unii Europejskiej w 2018 roku</w:t>
      </w:r>
    </w:p>
    <w:p w:rsidR="00AA777D" w:rsidRPr="00AA777D" w:rsidRDefault="00AA777D" w:rsidP="00AA777D">
      <w:pPr>
        <w:spacing w:line="276" w:lineRule="auto"/>
        <w:rPr>
          <w:rFonts w:ascii="Calibri" w:eastAsia="Calibri" w:hAnsi="Calibri"/>
          <w:b/>
          <w:sz w:val="22"/>
          <w:szCs w:val="22"/>
        </w:rPr>
      </w:pPr>
      <w:r w:rsidRPr="00AA777D">
        <w:rPr>
          <w:rFonts w:ascii="Calibri" w:eastAsia="Calibri" w:hAnsi="Calibri"/>
          <w:b/>
          <w:noProof/>
          <w:sz w:val="22"/>
          <w:szCs w:val="22"/>
          <w:lang w:eastAsia="pl-PL"/>
        </w:rPr>
        <w:lastRenderedPageBreak/>
        <w:drawing>
          <wp:inline distT="0" distB="0" distL="0" distR="0" wp14:anchorId="1896BB02" wp14:editId="39120F38">
            <wp:extent cx="5895975" cy="2028825"/>
            <wp:effectExtent l="0" t="0" r="9525" b="9525"/>
            <wp:docPr id="13" name="Obraz 0" descr="ue 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ue u.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5975" cy="2028825"/>
                    </a:xfrm>
                    <a:prstGeom prst="rect">
                      <a:avLst/>
                    </a:prstGeom>
                    <a:noFill/>
                    <a:ln>
                      <a:noFill/>
                    </a:ln>
                  </pic:spPr>
                </pic:pic>
              </a:graphicData>
            </a:graphic>
          </wp:inline>
        </w:drawing>
      </w:r>
    </w:p>
    <w:p w:rsidR="00AA777D" w:rsidRPr="00AA777D" w:rsidRDefault="00AA777D" w:rsidP="00AA777D">
      <w:pPr>
        <w:spacing w:line="276" w:lineRule="auto"/>
        <w:jc w:val="center"/>
        <w:rPr>
          <w:rFonts w:ascii="Calibri" w:eastAsia="Calibri" w:hAnsi="Calibri" w:cs="Arial"/>
        </w:rPr>
      </w:pPr>
      <w:r w:rsidRPr="00AA777D">
        <w:rPr>
          <w:rFonts w:ascii="Calibri" w:eastAsia="Calibri" w:hAnsi="Calibri" w:cs="Arial"/>
          <w:i/>
          <w:sz w:val="20"/>
        </w:rPr>
        <w:t xml:space="preserve">Opracowanie Sedlak </w:t>
      </w:r>
      <w:r w:rsidRPr="00AA777D">
        <w:rPr>
          <w:rFonts w:ascii="Calibri" w:eastAsia="Calibri" w:hAnsi="Calibri" w:cs="Arial"/>
          <w:i/>
          <w:sz w:val="16"/>
        </w:rPr>
        <w:t>&amp;</w:t>
      </w:r>
      <w:r w:rsidRPr="00AA777D">
        <w:rPr>
          <w:rFonts w:ascii="Calibri" w:eastAsia="Calibri" w:hAnsi="Calibri" w:cs="Arial"/>
          <w:i/>
          <w:sz w:val="20"/>
        </w:rPr>
        <w:t xml:space="preserve"> Sedlak na podstawie danych Komisji Europejskiej</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Według prognoz Komisji Europejskiej najwyższy wzrost wynagrodzeń w ujęciu nominalnym wystąpi na Łotwie i Litwie. Jednak biorąc pod uwagę prognozowaną inflację, krajem o najwyższym wzroście płac w ujęciu realnym będzie Rumunia. Powyższe państwa od lat notują najwyższą dynamikę wzrostu płac. Z kolei spadek wynagrodzeń w ujęciu realnym nastąpi w Hiszpanii, na Cyprze i w Wielkiej Brytanii. W krajach tych wysoka inflacja „skonsumuje” nominalny wzrost wynagrodzeń.</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Wykres 1. Prognozowany wzrost wynagrodzeń nominalnych i realnych</w:t>
      </w:r>
      <w:r w:rsidRPr="00AA777D">
        <w:rPr>
          <w:rFonts w:ascii="Calibri" w:eastAsia="Calibri" w:hAnsi="Calibri"/>
          <w:b/>
          <w:color w:val="002060"/>
          <w:szCs w:val="20"/>
          <w:lang w:eastAsia="pl-PL"/>
        </w:rPr>
        <w:br/>
        <w:t>w poszczególnych krajach Unii Europejskiej w 2018 roku (w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after="200" w:line="276" w:lineRule="auto"/>
        <w:rPr>
          <w:rFonts w:ascii="Calibri" w:eastAsia="Calibri" w:hAnsi="Calibri"/>
          <w:b/>
          <w:sz w:val="22"/>
          <w:szCs w:val="22"/>
        </w:rPr>
      </w:pPr>
      <w:r w:rsidRPr="00AA777D">
        <w:rPr>
          <w:rFonts w:ascii="Calibri" w:eastAsia="Calibri" w:hAnsi="Calibri"/>
          <w:b/>
          <w:noProof/>
          <w:sz w:val="22"/>
          <w:szCs w:val="22"/>
          <w:lang w:eastAsia="pl-PL"/>
        </w:rPr>
        <w:lastRenderedPageBreak/>
        <w:drawing>
          <wp:inline distT="0" distB="0" distL="0" distR="0" wp14:anchorId="6990EC81" wp14:editId="2B51D7EF">
            <wp:extent cx="5981700" cy="6219825"/>
            <wp:effectExtent l="0" t="0" r="0" b="9525"/>
            <wp:docPr id="14"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A777D" w:rsidRPr="00AA777D" w:rsidRDefault="00AA777D" w:rsidP="00AA777D">
      <w:pPr>
        <w:spacing w:line="276" w:lineRule="auto"/>
        <w:jc w:val="center"/>
        <w:rPr>
          <w:rFonts w:ascii="Calibri" w:eastAsia="Calibri" w:hAnsi="Calibri"/>
          <w:i/>
          <w:sz w:val="20"/>
          <w:szCs w:val="22"/>
        </w:rPr>
      </w:pPr>
      <w:r w:rsidRPr="00AA777D">
        <w:rPr>
          <w:rFonts w:ascii="Calibri" w:eastAsia="Calibri" w:hAnsi="Calibri"/>
          <w:i/>
          <w:sz w:val="20"/>
          <w:szCs w:val="22"/>
        </w:rPr>
        <w:t>*w prognozach Komisji Europejskiej uwzględniono wszystkie koszty związane z wynagrodzeniem,</w:t>
      </w:r>
      <w:r w:rsidRPr="00AA777D">
        <w:rPr>
          <w:rFonts w:ascii="Calibri" w:eastAsia="Calibri" w:hAnsi="Calibri"/>
          <w:i/>
          <w:sz w:val="20"/>
          <w:szCs w:val="22"/>
        </w:rPr>
        <w:br/>
        <w:t>a więc zarówno wynagrodzenie wypłacane pracownikom</w:t>
      </w:r>
      <w:r w:rsidRPr="00AA777D">
        <w:rPr>
          <w:rFonts w:ascii="Calibri" w:eastAsia="Calibri" w:hAnsi="Calibri"/>
          <w:i/>
          <w:sz w:val="20"/>
          <w:szCs w:val="22"/>
        </w:rPr>
        <w:br/>
        <w:t>jak i składki na ubezpieczenie społeczne płacone przez pracodawców.</w:t>
      </w:r>
      <w:r w:rsidRPr="00AA777D">
        <w:rPr>
          <w:rFonts w:ascii="Calibri" w:eastAsia="Calibri" w:hAnsi="Calibri"/>
          <w:i/>
          <w:sz w:val="20"/>
          <w:szCs w:val="22"/>
        </w:rPr>
        <w:br/>
        <w:t xml:space="preserve">Opracowanie Sedlak </w:t>
      </w:r>
      <w:r w:rsidRPr="00AA777D">
        <w:rPr>
          <w:rFonts w:ascii="Calibri" w:eastAsia="Calibri" w:hAnsi="Calibri"/>
          <w:i/>
          <w:sz w:val="16"/>
          <w:szCs w:val="22"/>
        </w:rPr>
        <w:t>&amp;</w:t>
      </w:r>
      <w:r w:rsidRPr="00AA777D">
        <w:rPr>
          <w:rFonts w:ascii="Calibri" w:eastAsia="Calibri" w:hAnsi="Calibri"/>
          <w:i/>
          <w:sz w:val="20"/>
          <w:szCs w:val="22"/>
        </w:rPr>
        <w:t xml:space="preserve"> Sedlak na podstawie danych Komisji Europejskiej</w:t>
      </w:r>
    </w:p>
    <w:p w:rsidR="00AA777D" w:rsidRPr="00AA777D" w:rsidRDefault="00AA777D" w:rsidP="00AA777D">
      <w:pPr>
        <w:spacing w:after="200" w:line="276" w:lineRule="auto"/>
        <w:rPr>
          <w:rFonts w:ascii="Calibri" w:eastAsia="Calibri" w:hAnsi="Calibri"/>
          <w:b/>
          <w:szCs w:val="22"/>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Amerykańskie stowarzyszenie </w:t>
      </w:r>
      <w:r w:rsidRPr="00AA777D">
        <w:rPr>
          <w:rFonts w:ascii="Calibri" w:eastAsia="Calibri" w:hAnsi="Calibri" w:cs="Arial"/>
          <w:i/>
        </w:rPr>
        <w:t>Economic Research Institute</w:t>
      </w:r>
      <w:r w:rsidRPr="00AA777D">
        <w:rPr>
          <w:rFonts w:ascii="Calibri" w:eastAsia="Calibri" w:hAnsi="Calibri" w:cs="Arial"/>
        </w:rPr>
        <w:t xml:space="preserve"> przygotowało zestawienie prognozowanego wzrostu wynagrodzeń dla całej Europy. Zgodnie z nim, wynagrodzenia w ujęciu nominalnym najszybciej wzrosną na Ukrainie. Jednak inflacja </w:t>
      </w:r>
      <w:r w:rsidRPr="00AA777D">
        <w:rPr>
          <w:rFonts w:ascii="Calibri" w:eastAsia="Calibri" w:hAnsi="Calibri" w:cs="Arial"/>
        </w:rPr>
        <w:lastRenderedPageBreak/>
        <w:t xml:space="preserve">w tym kraju, choć systematycznie spada, to od lat utrzymuje się na bardzo wysokim poziomie, przez co realny wzrost wynagrodzeń nie będzie już tak wysoki. </w:t>
      </w:r>
    </w:p>
    <w:p w:rsidR="00AA777D" w:rsidRPr="00AA777D" w:rsidRDefault="00AA777D" w:rsidP="00AA777D">
      <w:pPr>
        <w:spacing w:line="276" w:lineRule="auto"/>
        <w:jc w:val="center"/>
        <w:rPr>
          <w:rFonts w:ascii="Calibri" w:eastAsia="Calibri" w:hAnsi="Calibri"/>
          <w:b/>
          <w:color w:val="002060"/>
          <w:szCs w:val="20"/>
          <w:lang w:eastAsia="pl-P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Wykres 2. Prognozowany wzrost wynagrodzeń nominalnych i realnych</w:t>
      </w:r>
      <w:r w:rsidRPr="00AA777D">
        <w:rPr>
          <w:rFonts w:ascii="Calibri" w:eastAsia="Calibri" w:hAnsi="Calibri"/>
          <w:b/>
          <w:color w:val="002060"/>
          <w:szCs w:val="20"/>
          <w:lang w:eastAsia="pl-PL"/>
        </w:rPr>
        <w:br/>
        <w:t>w poszczególnych krajach Europy w 2018 roku (w %)</w:t>
      </w:r>
    </w:p>
    <w:p w:rsidR="00AA777D" w:rsidRPr="00AA777D" w:rsidRDefault="00AA777D" w:rsidP="00AA777D">
      <w:pPr>
        <w:spacing w:after="200" w:line="276" w:lineRule="auto"/>
        <w:jc w:val="center"/>
        <w:rPr>
          <w:rFonts w:ascii="Calibri" w:eastAsia="Calibri" w:hAnsi="Calibri"/>
          <w:i/>
          <w:sz w:val="20"/>
          <w:szCs w:val="22"/>
        </w:rPr>
      </w:pPr>
      <w:r w:rsidRPr="00AA777D">
        <w:rPr>
          <w:rFonts w:ascii="Calibri" w:eastAsia="Calibri" w:hAnsi="Calibri"/>
          <w:b/>
          <w:noProof/>
          <w:sz w:val="22"/>
          <w:szCs w:val="22"/>
          <w:lang w:eastAsia="pl-PL"/>
        </w:rPr>
        <w:drawing>
          <wp:inline distT="0" distB="0" distL="0" distR="0" wp14:anchorId="77CDF437" wp14:editId="4C172097">
            <wp:extent cx="6019800" cy="6134100"/>
            <wp:effectExtent l="0" t="0" r="0" b="0"/>
            <wp:docPr id="15"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18"/>
          <w:szCs w:val="22"/>
        </w:rPr>
        <w:t xml:space="preserve"> </w:t>
      </w:r>
      <w:r w:rsidRPr="00AA777D">
        <w:rPr>
          <w:rFonts w:ascii="Calibri" w:eastAsia="Calibri" w:hAnsi="Calibri"/>
          <w:i/>
          <w:sz w:val="20"/>
          <w:szCs w:val="22"/>
        </w:rPr>
        <w:t>Sedlak na podstawie ERI</w:t>
      </w: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t>Polska</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Według projektu ustawy budżetowej na 2018 rok dynamika nominalnego przeciętnego wynagrodzenia w gospodarce narodowej wyniesie 4,7%, co po </w:t>
      </w:r>
      <w:r w:rsidRPr="00AA777D">
        <w:rPr>
          <w:rFonts w:ascii="Calibri" w:eastAsia="Calibri" w:hAnsi="Calibri" w:cs="Arial"/>
        </w:rPr>
        <w:lastRenderedPageBreak/>
        <w:t xml:space="preserve">uwzględnieniu prognozowanej inflacji na poziomie 2,3% da realny wzrost wynagrodzeń o 2,4%. Z kolei dynamika nominalna przeciętnego wynagrodzenia brutto w sektorze przedsiębiorstw wyniesie 5,3%.  Według tego samego dokumentu wzrost gospodarczy wyniesie 3,8%, a stopa bezrobocia BAEL na koniec roku 6,4%.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Najbardziej optymistyczny scenariusz na 2018 rok założył NBP. Według szacunków tej instytucji zawartych w „Raporcie o inflacji”, wzrost wynagrodzeń w 2018 roku wyniesie 6%, a w 2019 roku 6,2%. Odpowiednio inflacja w tych latach wyniesie 2% i 2,5%.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rPr>
      </w:pPr>
      <w:r w:rsidRPr="00AA777D">
        <w:rPr>
          <w:rFonts w:ascii="Calibri" w:eastAsia="Calibri" w:hAnsi="Calibri"/>
          <w:i/>
        </w:rPr>
        <w:t>Economic Research Institute</w:t>
      </w:r>
      <w:r w:rsidRPr="00AA777D">
        <w:rPr>
          <w:rFonts w:ascii="Calibri" w:eastAsia="Calibri" w:hAnsi="Calibri"/>
        </w:rPr>
        <w:t xml:space="preserve"> szacuje, że dynamika wzrostu nominalnych wynagrodzeń w przyszłym roku w Polsce wyniesie 3%. Według najnowszych prognoz Komisji Europejskiej nasze wynagrodzenia wzrosną nominalnie o 5,1%.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rPr>
          <w:rFonts w:ascii="Calibri" w:eastAsia="Calibri" w:hAnsi="Calibri"/>
          <w:b/>
          <w:color w:val="002060"/>
          <w:szCs w:val="20"/>
          <w:lang w:eastAsia="pl-P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Wykres 3. Prognozowany wzrost wynagrodzeń nominalnych w Polsce w 2018 roku (w %)</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noProof/>
          <w:lang w:eastAsia="pl-PL"/>
        </w:rPr>
        <w:drawing>
          <wp:inline distT="0" distB="0" distL="0" distR="0" wp14:anchorId="331EDCA4" wp14:editId="26F7955D">
            <wp:extent cx="5486400" cy="3200400"/>
            <wp:effectExtent l="0" t="0" r="0" b="0"/>
            <wp:docPr id="16" name="Wykres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A777D" w:rsidRPr="00AA777D" w:rsidRDefault="00AA777D" w:rsidP="00AA777D">
      <w:pPr>
        <w:spacing w:line="276" w:lineRule="auto"/>
        <w:jc w:val="center"/>
        <w:rPr>
          <w:rFonts w:ascii="Calibri" w:eastAsia="Calibri" w:hAnsi="Calibri"/>
          <w:i/>
          <w:sz w:val="20"/>
          <w:szCs w:val="22"/>
        </w:rPr>
      </w:pP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18"/>
          <w:szCs w:val="22"/>
        </w:rPr>
        <w:t xml:space="preserve"> </w:t>
      </w:r>
      <w:r w:rsidRPr="00AA777D">
        <w:rPr>
          <w:rFonts w:ascii="Calibri" w:eastAsia="Calibri" w:hAnsi="Calibri"/>
          <w:i/>
          <w:sz w:val="20"/>
          <w:szCs w:val="22"/>
        </w:rPr>
        <w:t>Sedlak na podstawie dostępnych prognoz</w:t>
      </w:r>
    </w:p>
    <w:p w:rsidR="00AA777D" w:rsidRPr="00AA777D" w:rsidRDefault="00AA777D" w:rsidP="00AA777D">
      <w:pPr>
        <w:spacing w:line="276" w:lineRule="auto"/>
        <w:rPr>
          <w:rFonts w:ascii="Calibri" w:eastAsia="Calibri" w:hAnsi="Calibri"/>
          <w:b/>
          <w:color w:val="002060"/>
          <w:szCs w:val="20"/>
          <w:lang w:eastAsia="pl-PL"/>
        </w:rPr>
      </w:pP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t>PKB</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Założenia dotyczące wzrostu wynagrodzeń opierają się na wzroście PKB. Prognozy Komisji Europejskiej odnośnie wzrostu gospodarczego w 2018 są dla Polski </w:t>
      </w:r>
      <w:r w:rsidRPr="00AA777D">
        <w:rPr>
          <w:rFonts w:ascii="Calibri" w:eastAsia="Calibri" w:hAnsi="Calibri" w:cs="Arial"/>
        </w:rPr>
        <w:lastRenderedPageBreak/>
        <w:t xml:space="preserve">optymistyczne. W naszym kraju ma on być wyższy od wskaźnika dla Unii Europejskiej o 1,3% i powinien wynieść 3,2%. Ekonomiści zwracają uwagę na spowolnienie gospodarcze w krajach strefy euro. We Włoszech dynamika PKB ma wynieść zaledwie 1,1%, we Francji 1,7%, a w Niemczech 1,9%. Według projekcji wskaźnik dla całej strefy euro wyniesie zaledwie 1,8%. Dane Banku Światowego są również optymistyczne dla Polski – wzrost gospodarczy ma wynieść 3,3%. Z kolei w Unii Europejskiej średnie tempo wzrostu gospodarczego ma osiągnąć poziom 1,9% .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W czterech państwach Unii Europejskiej prognozowany wzrost wynagrodzeń w ujęciu realnym będzie wyższy od prognozowanej dynamiki PKB – będą to Rumunia, Łotwa, Litwa i Bułgaria. Oznacza to, że płace w tych krajach wzrosną szybciej niż gospodarka. Pod warunkiem zwiększonej wydajności pracy jest to zjawisko korzystne, oznaczające, że pracodawcy chętniej dzielą się zyskami z pracownikami.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Wykres 4. Prognozowana dynamika PKB</w:t>
      </w: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 poszczególnych krajach Unii Europejskiej w 2018 roku (w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after="200" w:line="276" w:lineRule="auto"/>
        <w:rPr>
          <w:rFonts w:ascii="Calibri" w:eastAsia="Calibri" w:hAnsi="Calibri"/>
          <w:b/>
          <w:sz w:val="22"/>
          <w:szCs w:val="22"/>
        </w:rPr>
      </w:pPr>
      <w:r w:rsidRPr="00AA777D">
        <w:rPr>
          <w:rFonts w:ascii="Calibri" w:eastAsia="Calibri" w:hAnsi="Calibri"/>
          <w:b/>
          <w:noProof/>
          <w:sz w:val="22"/>
          <w:szCs w:val="22"/>
          <w:lang w:eastAsia="pl-PL"/>
        </w:rPr>
        <w:lastRenderedPageBreak/>
        <w:drawing>
          <wp:inline distT="0" distB="0" distL="0" distR="0" wp14:anchorId="42034064" wp14:editId="54A0AF79">
            <wp:extent cx="5934075" cy="7153275"/>
            <wp:effectExtent l="0" t="0" r="9525" b="9525"/>
            <wp:docPr id="17" name="Wykres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A777D" w:rsidRPr="00AA777D" w:rsidRDefault="00AA777D" w:rsidP="00AA777D">
      <w:pPr>
        <w:spacing w:line="276" w:lineRule="auto"/>
        <w:jc w:val="center"/>
        <w:rPr>
          <w:rFonts w:ascii="Calibri" w:eastAsia="Calibri" w:hAnsi="Calibri"/>
          <w:i/>
          <w:sz w:val="20"/>
          <w:szCs w:val="22"/>
        </w:rPr>
      </w:pP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20"/>
          <w:szCs w:val="22"/>
        </w:rPr>
        <w:t xml:space="preserve"> Sedlak na podstawie danych Komisji Europejskiej</w:t>
      </w:r>
    </w:p>
    <w:p w:rsidR="00AA777D" w:rsidRPr="00AA777D" w:rsidRDefault="00AA777D" w:rsidP="00AA777D">
      <w:pPr>
        <w:spacing w:after="200" w:line="276" w:lineRule="auto"/>
        <w:rPr>
          <w:rFonts w:ascii="Calibri" w:eastAsia="Calibri" w:hAnsi="Calibri"/>
          <w:b/>
          <w:szCs w:val="22"/>
        </w:rPr>
      </w:pPr>
    </w:p>
    <w:p w:rsidR="00AA777D" w:rsidRPr="00AA777D" w:rsidRDefault="00AA777D" w:rsidP="00AA777D">
      <w:pPr>
        <w:spacing w:after="200" w:line="276" w:lineRule="auto"/>
        <w:rPr>
          <w:rFonts w:ascii="Calibri" w:eastAsia="Calibri" w:hAnsi="Calibri"/>
          <w:b/>
          <w:szCs w:val="22"/>
        </w:rPr>
      </w:pP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lastRenderedPageBreak/>
        <w:t>Wynagrodzenia a produktywność pracy</w:t>
      </w:r>
    </w:p>
    <w:p w:rsidR="00AA777D" w:rsidRPr="00AA777D" w:rsidRDefault="00AA777D" w:rsidP="00AA777D">
      <w:pPr>
        <w:spacing w:line="276" w:lineRule="auto"/>
        <w:jc w:val="both"/>
        <w:rPr>
          <w:rFonts w:ascii="Calibri" w:eastAsia="Calibri" w:hAnsi="Calibri" w:cs="Arial"/>
        </w:rPr>
      </w:pPr>
      <w:hyperlink r:id="rId15" w:history="1">
        <w:r w:rsidRPr="00AA777D">
          <w:rPr>
            <w:rFonts w:ascii="Calibri" w:eastAsia="Calibri" w:hAnsi="Calibri" w:cs="Arial"/>
          </w:rPr>
          <w:t>Z ekonomicznego punktu widzenia wskaźniki dynamiki wzrostu wynagrodzeń i produktywności pracy powinny przyjmować wartości porównywalne</w:t>
        </w:r>
      </w:hyperlink>
      <w:r w:rsidRPr="00AA777D">
        <w:rPr>
          <w:rFonts w:ascii="Calibri" w:eastAsia="Calibri" w:hAnsi="Calibri" w:cs="Arial"/>
        </w:rPr>
        <w:t>. Według projekcji na 2018 rok w większości krajów Unii Europejskiej wydajność pracy będzie wyższa niż wzrost wynagrodzeń. Dla państw całej strefy euro oba wskaźniki mają przybrać jednakową wartość.</w:t>
      </w:r>
    </w:p>
    <w:p w:rsidR="00AA777D" w:rsidRPr="00AA777D" w:rsidRDefault="00AA777D" w:rsidP="00AA777D">
      <w:pPr>
        <w:spacing w:line="276" w:lineRule="auto"/>
        <w:jc w:val="center"/>
        <w:rPr>
          <w:rFonts w:ascii="Calibri" w:eastAsia="Calibri" w:hAnsi="Calibri"/>
          <w:b/>
          <w:color w:val="002060"/>
          <w:szCs w:val="20"/>
          <w:lang w:eastAsia="pl-P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Wykres 5. Prognozowana zmiana produktywności pracy</w:t>
      </w: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 poszczególnych krajach Unii Europejskiej w 2018 roku (w %)</w:t>
      </w:r>
    </w:p>
    <w:p w:rsidR="00AA777D" w:rsidRPr="00AA777D" w:rsidRDefault="00AA777D" w:rsidP="00AA777D">
      <w:pPr>
        <w:spacing w:line="276" w:lineRule="auto"/>
        <w:rPr>
          <w:rFonts w:ascii="Calibri" w:eastAsia="Calibri" w:hAnsi="Calibri" w:cs="Arial"/>
          <w:b/>
        </w:rPr>
      </w:pPr>
    </w:p>
    <w:p w:rsidR="00AA777D" w:rsidRPr="00AA777D" w:rsidRDefault="00AA777D" w:rsidP="00AA777D">
      <w:pPr>
        <w:spacing w:line="276" w:lineRule="auto"/>
        <w:rPr>
          <w:rFonts w:ascii="Calibri" w:eastAsia="Calibri" w:hAnsi="Calibri"/>
          <w:b/>
          <w:color w:val="002060"/>
          <w:szCs w:val="22"/>
          <w:lang w:eastAsia="pl-PL"/>
        </w:rPr>
      </w:pPr>
      <w:r w:rsidRPr="00AA777D">
        <w:rPr>
          <w:rFonts w:ascii="Calibri" w:eastAsia="Calibri" w:hAnsi="Calibri"/>
          <w:b/>
          <w:noProof/>
          <w:color w:val="002060"/>
          <w:szCs w:val="22"/>
          <w:lang w:eastAsia="pl-PL"/>
        </w:rPr>
        <w:lastRenderedPageBreak/>
        <w:drawing>
          <wp:inline distT="0" distB="0" distL="0" distR="0" wp14:anchorId="11CA1ABE" wp14:editId="53AEC47C">
            <wp:extent cx="6067425" cy="7391400"/>
            <wp:effectExtent l="0" t="0" r="0" b="0"/>
            <wp:docPr id="18" name="Wykres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A777D" w:rsidRPr="00AA777D" w:rsidRDefault="00AA777D" w:rsidP="00AA777D">
      <w:pPr>
        <w:spacing w:line="276" w:lineRule="auto"/>
        <w:jc w:val="center"/>
        <w:rPr>
          <w:rFonts w:ascii="Calibri" w:eastAsia="Calibri" w:hAnsi="Calibri"/>
          <w:i/>
          <w:sz w:val="20"/>
          <w:szCs w:val="22"/>
        </w:rPr>
      </w:pP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20"/>
          <w:szCs w:val="22"/>
        </w:rPr>
        <w:t xml:space="preserve"> Sedlak na podstawie danych Komisji Europejskiej</w:t>
      </w:r>
    </w:p>
    <w:p w:rsidR="00AA777D" w:rsidRPr="00AA777D" w:rsidRDefault="00AA777D" w:rsidP="00AA777D">
      <w:pPr>
        <w:spacing w:line="276" w:lineRule="auto"/>
        <w:rPr>
          <w:rFonts w:ascii="Calibri" w:eastAsia="Calibri" w:hAnsi="Calibri"/>
          <w:b/>
          <w:color w:val="002060"/>
          <w:szCs w:val="20"/>
          <w:lang w:eastAsia="pl-PL"/>
        </w:rPr>
      </w:pPr>
    </w:p>
    <w:p w:rsidR="00AA777D" w:rsidRPr="00AA777D" w:rsidRDefault="00AA777D" w:rsidP="00AA777D">
      <w:pPr>
        <w:spacing w:line="276" w:lineRule="auto"/>
        <w:rPr>
          <w:rFonts w:ascii="Calibri" w:eastAsia="Calibri" w:hAnsi="Calibri"/>
          <w:b/>
          <w:color w:val="002060"/>
          <w:szCs w:val="20"/>
          <w:lang w:eastAsia="pl-PL"/>
        </w:rPr>
      </w:pP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lastRenderedPageBreak/>
        <w:t>Bezrobocie</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Istnieje wiele teorii na temat wpływu bezrobocia na wysokość wynagrodzeń. Ta podstawowa mówi, że wysokie bezrobocie powoduje spadek płac realnych. Bezdyskusyjne jest również to, że wysokie bezrobocie jest zjawiskiem niepożądanym ze względów społecznych. Według prognoz Komisji Europejskiej w 2018 roku w większości państw Unii Europejskiej będzie ono spadało, a jego wzrost przewiduje się jedynie w Wielkiej Brytanii i Estonii.</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 xml:space="preserve"> Tabela 1. Prognozowana stopa bezrobocia </w:t>
      </w: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 poszczególnych krajach Unii Europejskiej w latach 2017-2018 (w %)</w:t>
      </w:r>
    </w:p>
    <w:tbl>
      <w:tblPr>
        <w:tblW w:w="8815" w:type="dxa"/>
        <w:jc w:val="center"/>
        <w:tblCellMar>
          <w:left w:w="70" w:type="dxa"/>
          <w:right w:w="70" w:type="dxa"/>
        </w:tblCellMar>
        <w:tblLook w:val="04A0" w:firstRow="1" w:lastRow="0" w:firstColumn="1" w:lastColumn="0" w:noHBand="0" w:noVBand="1"/>
      </w:tblPr>
      <w:tblGrid>
        <w:gridCol w:w="2751"/>
        <w:gridCol w:w="3032"/>
        <w:gridCol w:w="3032"/>
      </w:tblGrid>
      <w:tr w:rsidR="00AA777D" w:rsidRPr="00AA777D" w:rsidTr="00AA777D">
        <w:trPr>
          <w:trHeight w:val="570"/>
          <w:jc w:val="center"/>
        </w:trPr>
        <w:tc>
          <w:tcPr>
            <w:tcW w:w="2751" w:type="dxa"/>
            <w:vMerge w:val="restart"/>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kraj</w:t>
            </w:r>
          </w:p>
        </w:tc>
        <w:tc>
          <w:tcPr>
            <w:tcW w:w="6064" w:type="dxa"/>
            <w:gridSpan w:val="2"/>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stopa bezrobocia</w:t>
            </w:r>
          </w:p>
        </w:tc>
      </w:tr>
      <w:tr w:rsidR="00AA777D" w:rsidRPr="00AA777D" w:rsidTr="00AA777D">
        <w:trPr>
          <w:trHeight w:val="570"/>
          <w:jc w:val="center"/>
        </w:trPr>
        <w:tc>
          <w:tcPr>
            <w:tcW w:w="0" w:type="auto"/>
            <w:vMerge/>
            <w:tcBorders>
              <w:top w:val="single" w:sz="8" w:space="0" w:color="FFDEBF"/>
              <w:left w:val="single" w:sz="4" w:space="0" w:color="FFFFFF"/>
              <w:bottom w:val="single" w:sz="8" w:space="0" w:color="FFDEBF"/>
              <w:right w:val="single" w:sz="4" w:space="0" w:color="FFFFFF"/>
            </w:tcBorders>
            <w:vAlign w:val="center"/>
            <w:hideMark/>
          </w:tcPr>
          <w:p w:rsidR="00AA777D" w:rsidRPr="00AA777D" w:rsidRDefault="00AA777D" w:rsidP="00AA777D">
            <w:pPr>
              <w:spacing w:line="276" w:lineRule="auto"/>
              <w:rPr>
                <w:rFonts w:ascii="Calibri" w:hAnsi="Calibri" w:cs="Arial"/>
                <w:b/>
                <w:bCs/>
                <w:color w:val="565450"/>
                <w:sz w:val="28"/>
                <w:szCs w:val="28"/>
              </w:rPr>
            </w:pPr>
          </w:p>
        </w:tc>
        <w:tc>
          <w:tcPr>
            <w:tcW w:w="3032" w:type="dxa"/>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2017</w:t>
            </w:r>
          </w:p>
        </w:tc>
        <w:tc>
          <w:tcPr>
            <w:tcW w:w="3032" w:type="dxa"/>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2018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Grecja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22,8</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21,6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Hiszpania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17,6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Włochy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11,5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11,3</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Cypr</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11,7</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10,6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Chorwacja</w:t>
            </w:r>
          </w:p>
        </w:tc>
        <w:tc>
          <w:tcPr>
            <w:tcW w:w="3032" w:type="dxa"/>
            <w:tcBorders>
              <w:top w:val="nil"/>
              <w:left w:val="nil"/>
              <w:bottom w:val="single" w:sz="8" w:space="0" w:color="FFDEBF"/>
              <w:right w:val="single" w:sz="8" w:space="0" w:color="FFFFFF"/>
            </w:tcBorders>
            <w:noWrap/>
            <w:vAlign w:val="bottom"/>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11,6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9,7</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Francja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Portugalia</w:t>
            </w:r>
          </w:p>
        </w:tc>
        <w:tc>
          <w:tcPr>
            <w:tcW w:w="3032" w:type="dxa"/>
            <w:tcBorders>
              <w:top w:val="nil"/>
              <w:left w:val="nil"/>
              <w:bottom w:val="single" w:sz="8" w:space="0" w:color="FFDEBF"/>
              <w:right w:val="single" w:sz="8" w:space="0" w:color="FFFFFF"/>
            </w:tcBorders>
            <w:noWrap/>
            <w:vAlign w:val="bottom"/>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9,2</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strefa euro</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Łotwa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9,2</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8,7</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Estonia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7,7</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Finlandia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8,2</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Unia Europejska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7,7</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Słowacja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FF0000"/>
                <w:sz w:val="28"/>
                <w:szCs w:val="28"/>
                <w:lang w:eastAsia="pl-PL"/>
              </w:rPr>
            </w:pPr>
            <w:r w:rsidRPr="00AA777D">
              <w:rPr>
                <w:rFonts w:ascii="Calibri" w:hAnsi="Calibri" w:cs="Arial"/>
                <w:color w:val="5A5A5A"/>
                <w:sz w:val="28"/>
                <w:szCs w:val="28"/>
                <w:lang w:eastAsia="pl-PL"/>
              </w:rPr>
              <w:lastRenderedPageBreak/>
              <w:t>Belgia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Litwa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7,2</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Szwecja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Bułgaria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Słowenia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7,2</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6,3</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Luksemburg</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6,1</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Irlandia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Austria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Dania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5,8</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5,7</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Wielka Brytania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Rumunia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5,3</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Malta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FF0000"/>
                <w:sz w:val="28"/>
                <w:szCs w:val="28"/>
                <w:lang w:eastAsia="pl-PL"/>
              </w:rPr>
            </w:pPr>
            <w:r w:rsidRPr="00AA777D">
              <w:rPr>
                <w:rFonts w:ascii="Calibri" w:hAnsi="Calibri" w:cs="Arial"/>
                <w:color w:val="FF0000"/>
                <w:sz w:val="28"/>
                <w:szCs w:val="28"/>
                <w:lang w:eastAsia="pl-PL"/>
              </w:rPr>
              <w:t>Polska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5,2</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Holandia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Węgry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4,1</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Niemcy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3,9</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Czechy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3,5</w:t>
            </w:r>
          </w:p>
        </w:tc>
      </w:tr>
    </w:tbl>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i/>
          <w:sz w:val="20"/>
          <w:szCs w:val="22"/>
        </w:rPr>
      </w:pP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20"/>
          <w:szCs w:val="22"/>
        </w:rPr>
        <w:t xml:space="preserve"> Sedlak na podstawie danych Komisji Europejskiej</w:t>
      </w:r>
    </w:p>
    <w:p w:rsidR="00AA777D" w:rsidRPr="00AA777D" w:rsidRDefault="00AA777D" w:rsidP="00AA777D">
      <w:pPr>
        <w:spacing w:line="276" w:lineRule="auto"/>
        <w:rPr>
          <w:rFonts w:ascii="Calibri" w:eastAsia="Calibri" w:hAnsi="Calibri" w:cs="Arial"/>
          <w:i/>
        </w:rPr>
      </w:pPr>
    </w:p>
    <w:p w:rsidR="00AA777D" w:rsidRPr="00AA777D" w:rsidRDefault="00AA777D" w:rsidP="00AA777D">
      <w:pPr>
        <w:spacing w:line="276" w:lineRule="auto"/>
        <w:rPr>
          <w:rFonts w:ascii="Calibri" w:eastAsia="Calibri" w:hAnsi="Calibri"/>
          <w:b/>
          <w:color w:val="002060"/>
          <w:szCs w:val="22"/>
          <w:lang w:eastAsia="pl-PL"/>
        </w:rPr>
      </w:pPr>
    </w:p>
    <w:p w:rsidR="00AA777D" w:rsidRPr="00AA777D" w:rsidRDefault="00AA777D" w:rsidP="00AA777D">
      <w:pPr>
        <w:spacing w:line="276" w:lineRule="auto"/>
        <w:rPr>
          <w:rFonts w:ascii="Calibri" w:eastAsia="Calibri" w:hAnsi="Calibri"/>
          <w:sz w:val="26"/>
          <w:szCs w:val="26"/>
        </w:rPr>
      </w:pPr>
      <w:r w:rsidRPr="00AA777D">
        <w:rPr>
          <w:rFonts w:ascii="Calibri" w:eastAsia="Calibri" w:hAnsi="Calibri"/>
          <w:b/>
          <w:color w:val="002060"/>
          <w:sz w:val="26"/>
          <w:szCs w:val="26"/>
        </w:rPr>
        <w:t>Płaca minimalna</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W ostatnich latach w większości krajów Europy płaca minimalna stopniowo wzrastała. W 2018 roku tendencja ta utrzyma się. Jedynie w Hiszpanii, Grecji, Serbii, </w:t>
      </w:r>
      <w:r w:rsidRPr="00AA777D">
        <w:rPr>
          <w:rFonts w:ascii="Calibri" w:eastAsia="Calibri" w:hAnsi="Calibri" w:cs="Arial"/>
        </w:rPr>
        <w:lastRenderedPageBreak/>
        <w:t>Bułgarii, Macedonii i Czarnogórze pozostanie na tym samym poziomie. Przypomnijmy, że w nadchodzącym roku obowiązująca stawka płacy minimalnej w Polsce wyniesie 2 100 PLN brutto w wymiarze miesięcznym i 13,70 PLN brutto na godzinę.</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 xml:space="preserve">Tabela 2. Płaca minimalna w poszczególnych krajach Unii Europejskiej </w:t>
      </w:r>
    </w:p>
    <w:p w:rsidR="00AA777D" w:rsidRPr="00AA777D" w:rsidRDefault="00AA777D" w:rsidP="00AA777D">
      <w:pPr>
        <w:spacing w:line="276" w:lineRule="auto"/>
        <w:jc w:val="center"/>
        <w:rPr>
          <w:rFonts w:ascii="Calibri" w:eastAsia="Calibri" w:hAnsi="Calibri"/>
          <w:b/>
          <w:color w:val="002060"/>
          <w:szCs w:val="20"/>
          <w:lang w:eastAsia="pl-PL"/>
        </w:rPr>
      </w:pPr>
      <w:r w:rsidRPr="00AA777D">
        <w:rPr>
          <w:rFonts w:ascii="Calibri" w:eastAsia="Calibri" w:hAnsi="Calibri"/>
          <w:b/>
          <w:color w:val="002060"/>
          <w:szCs w:val="20"/>
          <w:lang w:eastAsia="pl-PL"/>
        </w:rPr>
        <w:t>w latach 2017-2018 (w EUR brutto)</w:t>
      </w:r>
    </w:p>
    <w:tbl>
      <w:tblPr>
        <w:tblW w:w="8815" w:type="dxa"/>
        <w:jc w:val="center"/>
        <w:tblCellMar>
          <w:left w:w="70" w:type="dxa"/>
          <w:right w:w="70" w:type="dxa"/>
        </w:tblCellMar>
        <w:tblLook w:val="04A0" w:firstRow="1" w:lastRow="0" w:firstColumn="1" w:lastColumn="0" w:noHBand="0" w:noVBand="1"/>
      </w:tblPr>
      <w:tblGrid>
        <w:gridCol w:w="2751"/>
        <w:gridCol w:w="3032"/>
        <w:gridCol w:w="3032"/>
      </w:tblGrid>
      <w:tr w:rsidR="00AA777D" w:rsidRPr="00AA777D" w:rsidTr="00AA777D">
        <w:trPr>
          <w:trHeight w:val="570"/>
          <w:jc w:val="center"/>
        </w:trPr>
        <w:tc>
          <w:tcPr>
            <w:tcW w:w="2751" w:type="dxa"/>
            <w:vMerge w:val="restart"/>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kraj</w:t>
            </w:r>
          </w:p>
        </w:tc>
        <w:tc>
          <w:tcPr>
            <w:tcW w:w="6064" w:type="dxa"/>
            <w:gridSpan w:val="2"/>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płaca minimalna</w:t>
            </w:r>
          </w:p>
        </w:tc>
      </w:tr>
      <w:tr w:rsidR="00AA777D" w:rsidRPr="00AA777D" w:rsidTr="00AA777D">
        <w:trPr>
          <w:trHeight w:val="570"/>
          <w:jc w:val="center"/>
        </w:trPr>
        <w:tc>
          <w:tcPr>
            <w:tcW w:w="0" w:type="auto"/>
            <w:vMerge/>
            <w:tcBorders>
              <w:top w:val="single" w:sz="8" w:space="0" w:color="FFDEBF"/>
              <w:left w:val="single" w:sz="4" w:space="0" w:color="FFFFFF"/>
              <w:bottom w:val="single" w:sz="8" w:space="0" w:color="FFDEBF"/>
              <w:right w:val="single" w:sz="4" w:space="0" w:color="FFFFFF"/>
            </w:tcBorders>
            <w:vAlign w:val="center"/>
            <w:hideMark/>
          </w:tcPr>
          <w:p w:rsidR="00AA777D" w:rsidRPr="00AA777D" w:rsidRDefault="00AA777D" w:rsidP="00AA777D">
            <w:pPr>
              <w:spacing w:line="276" w:lineRule="auto"/>
              <w:rPr>
                <w:rFonts w:ascii="Calibri" w:hAnsi="Calibri" w:cs="Arial"/>
                <w:b/>
                <w:bCs/>
                <w:color w:val="565450"/>
                <w:sz w:val="28"/>
                <w:szCs w:val="28"/>
              </w:rPr>
            </w:pPr>
          </w:p>
        </w:tc>
        <w:tc>
          <w:tcPr>
            <w:tcW w:w="3032" w:type="dxa"/>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2017</w:t>
            </w:r>
          </w:p>
        </w:tc>
        <w:tc>
          <w:tcPr>
            <w:tcW w:w="3032" w:type="dxa"/>
            <w:tcBorders>
              <w:top w:val="single" w:sz="8" w:space="0" w:color="FFDEBF"/>
              <w:left w:val="single" w:sz="4" w:space="0" w:color="FFFFFF"/>
              <w:bottom w:val="single" w:sz="8" w:space="0" w:color="FFDEBF"/>
              <w:right w:val="single" w:sz="4" w:space="0" w:color="FFFFFF"/>
            </w:tcBorders>
            <w:shd w:val="clear" w:color="auto" w:fill="FFF2E9"/>
            <w:vAlign w:val="center"/>
            <w:hideMark/>
          </w:tcPr>
          <w:p w:rsidR="00AA777D" w:rsidRPr="00AA777D" w:rsidRDefault="00AA777D" w:rsidP="00AA777D">
            <w:pPr>
              <w:spacing w:line="276" w:lineRule="auto"/>
              <w:jc w:val="center"/>
              <w:rPr>
                <w:rFonts w:ascii="Calibri" w:hAnsi="Calibri" w:cs="Arial"/>
                <w:b/>
                <w:bCs/>
                <w:color w:val="565450"/>
                <w:sz w:val="28"/>
                <w:szCs w:val="28"/>
              </w:rPr>
            </w:pPr>
            <w:r w:rsidRPr="00AA777D">
              <w:rPr>
                <w:rFonts w:ascii="Calibri" w:hAnsi="Calibri" w:cs="Arial"/>
                <w:b/>
                <w:bCs/>
                <w:color w:val="565450"/>
                <w:sz w:val="28"/>
                <w:szCs w:val="28"/>
              </w:rPr>
              <w:t>2018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Luksemburg</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2003</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2053</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Irlandia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1563</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1572</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Holandia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1530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1540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Belgia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1532</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1558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Niemcy</w:t>
            </w:r>
          </w:p>
        </w:tc>
        <w:tc>
          <w:tcPr>
            <w:tcW w:w="3032" w:type="dxa"/>
            <w:tcBorders>
              <w:top w:val="nil"/>
              <w:left w:val="nil"/>
              <w:bottom w:val="single" w:sz="8" w:space="0" w:color="FFDEBF"/>
              <w:right w:val="single" w:sz="8" w:space="0" w:color="FFFFFF"/>
            </w:tcBorders>
            <w:noWrap/>
            <w:vAlign w:val="bottom"/>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8,84/h</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9,5/h</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Francja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1480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1500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Wielka Brytania</w:t>
            </w:r>
          </w:p>
        </w:tc>
        <w:tc>
          <w:tcPr>
            <w:tcW w:w="3032" w:type="dxa"/>
            <w:tcBorders>
              <w:top w:val="nil"/>
              <w:left w:val="nil"/>
              <w:bottom w:val="single" w:sz="8" w:space="0" w:color="FFDEBF"/>
              <w:right w:val="single" w:sz="8" w:space="0" w:color="FFFFFF"/>
            </w:tcBorders>
            <w:noWrap/>
            <w:vAlign w:val="bottom"/>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7,5/h</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8/h</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Hiszpania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826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826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Słowenia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795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800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Malta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736</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1135</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Grecja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684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684</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Portugalia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650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670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Estonia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450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470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FF0000"/>
                <w:sz w:val="28"/>
                <w:szCs w:val="28"/>
                <w:lang w:eastAsia="pl-PL"/>
              </w:rPr>
            </w:pPr>
            <w:r w:rsidRPr="00AA777D">
              <w:rPr>
                <w:rFonts w:ascii="Calibri" w:hAnsi="Calibri" w:cs="Arial"/>
                <w:color w:val="FF0000"/>
                <w:sz w:val="28"/>
                <w:szCs w:val="28"/>
                <w:lang w:eastAsia="pl-PL"/>
              </w:rPr>
              <w:t>Polska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453</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470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Słowacja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425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450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lastRenderedPageBreak/>
              <w:t>Chorwacja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414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418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Węgry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364</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372</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Czechy</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368</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378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Łotwa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380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390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Litwa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370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380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Czarnogóra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288</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288</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Rumunia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250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266</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Serbia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249</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243</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Bułgaria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230</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230</w:t>
            </w:r>
          </w:p>
        </w:tc>
      </w:tr>
      <w:tr w:rsidR="00AA777D" w:rsidRPr="00AA777D" w:rsidTr="00AA777D">
        <w:trPr>
          <w:trHeight w:val="567"/>
          <w:jc w:val="center"/>
        </w:trPr>
        <w:tc>
          <w:tcPr>
            <w:tcW w:w="2751" w:type="dxa"/>
            <w:tcBorders>
              <w:top w:val="nil"/>
              <w:left w:val="single" w:sz="8" w:space="0" w:color="FFFFFF"/>
              <w:bottom w:val="single" w:sz="8" w:space="0" w:color="FFDEBF"/>
              <w:right w:val="single" w:sz="8" w:space="0" w:color="FFFFFF"/>
            </w:tcBorders>
            <w:noWrap/>
            <w:vAlign w:val="bottom"/>
            <w:hideMark/>
          </w:tcPr>
          <w:p w:rsidR="00AA777D" w:rsidRPr="00AA777D" w:rsidRDefault="00AA777D" w:rsidP="00AA777D">
            <w:pPr>
              <w:spacing w:after="200" w:line="276" w:lineRule="auto"/>
              <w:rPr>
                <w:rFonts w:ascii="Calibri" w:hAnsi="Calibri" w:cs="Arial"/>
                <w:color w:val="5A5A5A"/>
                <w:sz w:val="28"/>
                <w:szCs w:val="28"/>
                <w:lang w:eastAsia="pl-PL"/>
              </w:rPr>
            </w:pPr>
            <w:r w:rsidRPr="00AA777D">
              <w:rPr>
                <w:rFonts w:ascii="Calibri" w:hAnsi="Calibri" w:cs="Arial"/>
                <w:color w:val="5A5A5A"/>
                <w:sz w:val="28"/>
                <w:szCs w:val="28"/>
                <w:lang w:eastAsia="pl-PL"/>
              </w:rPr>
              <w:t>Macedonia</w:t>
            </w:r>
          </w:p>
        </w:tc>
        <w:tc>
          <w:tcPr>
            <w:tcW w:w="3032" w:type="dxa"/>
            <w:tcBorders>
              <w:top w:val="nil"/>
              <w:left w:val="nil"/>
              <w:bottom w:val="single" w:sz="8" w:space="0" w:color="FFDEBF"/>
              <w:right w:val="single" w:sz="8" w:space="0" w:color="FFFFFF"/>
            </w:tcBorders>
            <w:noWrap/>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235</w:t>
            </w:r>
          </w:p>
        </w:tc>
        <w:tc>
          <w:tcPr>
            <w:tcW w:w="3032" w:type="dxa"/>
            <w:tcBorders>
              <w:top w:val="nil"/>
              <w:left w:val="nil"/>
              <w:bottom w:val="single" w:sz="8" w:space="0" w:color="FFDEBF"/>
              <w:right w:val="single" w:sz="8" w:space="0" w:color="FFFFFF"/>
            </w:tcBorders>
            <w:hideMark/>
          </w:tcPr>
          <w:p w:rsidR="00AA777D" w:rsidRPr="00AA777D" w:rsidRDefault="00AA777D" w:rsidP="00AA777D">
            <w:pPr>
              <w:spacing w:after="200" w:line="276" w:lineRule="auto"/>
              <w:jc w:val="center"/>
              <w:rPr>
                <w:rFonts w:ascii="Calibri" w:hAnsi="Calibri" w:cs="Arial"/>
                <w:color w:val="5A5A5A"/>
                <w:sz w:val="28"/>
                <w:szCs w:val="28"/>
                <w:lang w:eastAsia="pl-PL"/>
              </w:rPr>
            </w:pPr>
            <w:r w:rsidRPr="00AA777D">
              <w:rPr>
                <w:rFonts w:ascii="Calibri" w:hAnsi="Calibri" w:cs="Arial"/>
                <w:color w:val="5A5A5A"/>
                <w:sz w:val="28"/>
                <w:szCs w:val="28"/>
                <w:lang w:eastAsia="pl-PL"/>
              </w:rPr>
              <w:t>235</w:t>
            </w:r>
          </w:p>
        </w:tc>
      </w:tr>
    </w:tbl>
    <w:p w:rsidR="00AA777D" w:rsidRPr="00AA777D" w:rsidRDefault="00AA777D" w:rsidP="00AA777D">
      <w:pPr>
        <w:spacing w:after="200" w:line="276" w:lineRule="auto"/>
        <w:jc w:val="center"/>
        <w:rPr>
          <w:rFonts w:ascii="Calibri" w:eastAsia="Calibri" w:hAnsi="Calibri"/>
          <w:sz w:val="22"/>
          <w:szCs w:val="22"/>
        </w:rPr>
      </w:pPr>
      <w:r w:rsidRPr="00AA777D">
        <w:rPr>
          <w:rFonts w:ascii="Calibri" w:eastAsia="Calibri" w:hAnsi="Calibri"/>
          <w:i/>
          <w:sz w:val="20"/>
          <w:szCs w:val="22"/>
        </w:rPr>
        <w:t xml:space="preserve">Opracowanie Sedlak </w:t>
      </w:r>
      <w:r w:rsidRPr="00AA777D">
        <w:rPr>
          <w:rFonts w:ascii="Calibri" w:eastAsia="Calibri" w:hAnsi="Calibri"/>
          <w:i/>
          <w:sz w:val="16"/>
          <w:szCs w:val="22"/>
        </w:rPr>
        <w:t>&amp;</w:t>
      </w:r>
      <w:r w:rsidRPr="00AA777D">
        <w:rPr>
          <w:rFonts w:ascii="Calibri" w:eastAsia="Calibri" w:hAnsi="Calibri"/>
          <w:i/>
          <w:sz w:val="18"/>
          <w:szCs w:val="22"/>
        </w:rPr>
        <w:t xml:space="preserve"> </w:t>
      </w:r>
      <w:r w:rsidRPr="00AA777D">
        <w:rPr>
          <w:rFonts w:ascii="Calibri" w:eastAsia="Calibri" w:hAnsi="Calibri"/>
          <w:i/>
          <w:sz w:val="20"/>
          <w:szCs w:val="22"/>
        </w:rPr>
        <w:t>Sedlak na podstawie tradeconomics.com</w:t>
      </w:r>
    </w:p>
    <w:p w:rsidR="00AA777D" w:rsidRPr="00AA777D" w:rsidRDefault="00AA777D" w:rsidP="00AA777D">
      <w:pPr>
        <w:spacing w:line="276" w:lineRule="auto"/>
        <w:rPr>
          <w:rFonts w:ascii="Calibri" w:eastAsia="Calibri" w:hAnsi="Calibri"/>
          <w:b/>
          <w:color w:val="002060"/>
          <w:szCs w:val="26"/>
        </w:rPr>
      </w:pPr>
    </w:p>
    <w:p w:rsidR="00AA777D" w:rsidRPr="00AA777D" w:rsidRDefault="00AA777D" w:rsidP="00AA777D">
      <w:pPr>
        <w:spacing w:line="276" w:lineRule="auto"/>
        <w:rPr>
          <w:rFonts w:ascii="Calibri" w:eastAsia="Calibri" w:hAnsi="Calibri"/>
          <w:b/>
          <w:color w:val="002060"/>
          <w:szCs w:val="26"/>
        </w:rPr>
      </w:pPr>
    </w:p>
    <w:p w:rsidR="00AA777D" w:rsidRPr="00AA777D" w:rsidRDefault="00AA777D" w:rsidP="00AA777D">
      <w:pPr>
        <w:spacing w:line="276" w:lineRule="auto"/>
        <w:rPr>
          <w:rFonts w:ascii="Calibri" w:eastAsia="Calibri" w:hAnsi="Calibri"/>
          <w:b/>
          <w:color w:val="002060"/>
          <w:sz w:val="26"/>
          <w:szCs w:val="26"/>
        </w:rPr>
      </w:pPr>
      <w:r w:rsidRPr="00AA777D">
        <w:rPr>
          <w:rFonts w:ascii="Calibri" w:eastAsia="Calibri" w:hAnsi="Calibri"/>
          <w:b/>
          <w:color w:val="002060"/>
          <w:sz w:val="26"/>
          <w:szCs w:val="26"/>
        </w:rPr>
        <w:t>Podsumowanie</w:t>
      </w: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 xml:space="preserve">Wraz ze wzrostem dynamiki PKB w większości europejskich krajów rosną wynagrodzenia mieszkańców. Jednak w przeważającej części krajów Unii Europejskiej wynagrodzenia w ujęciu realnym rosną wolniej niż PKB. Zarobki w Polsce i innych krajach naszego regionu rosną znacznie szybciej niż w krajach Europy Zachodniej. </w:t>
      </w:r>
    </w:p>
    <w:p w:rsidR="00AA777D" w:rsidRPr="00AA777D" w:rsidRDefault="00AA777D" w:rsidP="00AA777D">
      <w:pPr>
        <w:spacing w:line="276" w:lineRule="auto"/>
        <w:jc w:val="both"/>
        <w:rPr>
          <w:rFonts w:ascii="Calibri" w:eastAsia="Calibri" w:hAnsi="Calibri" w:cs="Arial"/>
        </w:rPr>
      </w:pPr>
    </w:p>
    <w:p w:rsidR="00AA777D" w:rsidRPr="00AA777D" w:rsidRDefault="00AA777D" w:rsidP="00AA777D">
      <w:pPr>
        <w:spacing w:line="276" w:lineRule="auto"/>
        <w:jc w:val="both"/>
        <w:rPr>
          <w:rFonts w:ascii="Calibri" w:eastAsia="Calibri" w:hAnsi="Calibri" w:cs="Arial"/>
        </w:rPr>
      </w:pPr>
      <w:r w:rsidRPr="00AA777D">
        <w:rPr>
          <w:rFonts w:ascii="Calibri" w:eastAsia="Calibri" w:hAnsi="Calibri" w:cs="Arial"/>
        </w:rPr>
        <w:t>Według ekonomistów NBP spadające bezrobocie i malejąca podaż siły roboczej w Polsce spowodują wzrost dynamiki wynagrodzeń w najbliższych latach. Według szacunków Ministerstwa Finansów realne płace mieszkańców Polski wzrosną w 2019 roku o 5,1%, a w 2020 r. o 5,3%. Będą tym samym bliskie oczekiwanym zmianom w długookresowym trendzie produktywności pracy (</w:t>
      </w:r>
      <w:r w:rsidRPr="00AA777D">
        <w:rPr>
          <w:rFonts w:ascii="Calibri" w:eastAsia="Calibri" w:hAnsi="Calibri" w:cs="Arial"/>
          <w:i/>
        </w:rPr>
        <w:t>Program Konwergencji</w:t>
      </w:r>
      <w:r w:rsidRPr="00AA777D">
        <w:rPr>
          <w:rFonts w:ascii="Calibri" w:eastAsia="Calibri" w:hAnsi="Calibri" w:cs="Arial"/>
        </w:rPr>
        <w:t>, Aktualizacja 2017).</w:t>
      </w:r>
    </w:p>
    <w:p w:rsidR="0000005A" w:rsidRPr="00A217F4" w:rsidRDefault="0000005A" w:rsidP="00BC1378">
      <w:pPr>
        <w:spacing w:line="276" w:lineRule="auto"/>
        <w:rPr>
          <w:rFonts w:asciiTheme="minorHAnsi" w:eastAsiaTheme="minorHAnsi" w:hAnsiTheme="minorHAnsi"/>
          <w:lang w:eastAsia="pl-PL"/>
        </w:rPr>
      </w:pPr>
      <w:bookmarkStart w:id="0" w:name="_GoBack"/>
      <w:bookmarkEnd w:id="0"/>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lastRenderedPageBreak/>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9"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20"/>
      <w:footerReference w:type="default" r:id="rId21"/>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A777D"/>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3911393">
      <w:bodyDiv w:val="1"/>
      <w:marLeft w:val="0"/>
      <w:marRight w:val="0"/>
      <w:marTop w:val="0"/>
      <w:marBottom w:val="0"/>
      <w:divBdr>
        <w:top w:val="none" w:sz="0" w:space="0" w:color="auto"/>
        <w:left w:val="none" w:sz="0" w:space="0" w:color="auto"/>
        <w:bottom w:val="none" w:sz="0" w:space="0" w:color="auto"/>
        <w:right w:val="none" w:sz="0" w:space="0" w:color="auto"/>
      </w:divBdr>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550637">
      <w:bodyDiv w:val="1"/>
      <w:marLeft w:val="0"/>
      <w:marRight w:val="0"/>
      <w:marTop w:val="0"/>
      <w:marBottom w:val="0"/>
      <w:divBdr>
        <w:top w:val="none" w:sz="0" w:space="0" w:color="auto"/>
        <w:left w:val="none" w:sz="0" w:space="0" w:color="auto"/>
        <w:bottom w:val="none" w:sz="0" w:space="0" w:color="auto"/>
        <w:right w:val="none" w:sz="0" w:space="0" w:color="auto"/>
      </w:divBdr>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wynagrodzenia.pl/artykul/zmiana-poziomu-wynagrodzen-a-zmiana-wydajnosci-w-krajach-unii-europejskiej"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ynagrodzenia.pl/t/ogolnopolskie-badanie-wynagrodzen-np"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chart" Target="charts/chart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4056358363621923E-2"/>
          <c:y val="2.5071457163177817E-2"/>
          <c:w val="0.7392901548925741"/>
          <c:h val="0.92616970506394547"/>
        </c:manualLayout>
      </c:layout>
      <c:barChart>
        <c:barDir val="bar"/>
        <c:grouping val="clustered"/>
        <c:varyColors val="0"/>
        <c:ser>
          <c:idx val="0"/>
          <c:order val="0"/>
          <c:tx>
            <c:strRef>
              <c:f>Arkusz1!$B$1</c:f>
              <c:strCache>
                <c:ptCount val="1"/>
                <c:pt idx="0">
                  <c:v>nominalny wzrost wynagrodzeń</c:v>
                </c:pt>
              </c:strCache>
            </c:strRef>
          </c:tx>
          <c:spPr>
            <a:solidFill>
              <a:srgbClr val="77C3D8"/>
            </a:solidFill>
          </c:spPr>
          <c:invertIfNegative val="0"/>
          <c:dLbls>
            <c:spPr>
              <a:noFill/>
              <a:ln>
                <a:noFill/>
              </a:ln>
              <a:effectLst/>
            </c:spPr>
            <c:txPr>
              <a:bodyPr/>
              <a:lstStyle/>
              <a:p>
                <a:pPr>
                  <a:defRPr sz="11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Arkusz1!$A$2:$A$31</c:f>
              <c:strCache>
                <c:ptCount val="30"/>
                <c:pt idx="0">
                  <c:v>Wielka Brytania</c:v>
                </c:pt>
                <c:pt idx="1">
                  <c:v>Cypr</c:v>
                </c:pt>
                <c:pt idx="2">
                  <c:v>Hiszpania</c:v>
                </c:pt>
                <c:pt idx="3">
                  <c:v>Portugalia</c:v>
                </c:pt>
                <c:pt idx="4">
                  <c:v>Luksemburg</c:v>
                </c:pt>
                <c:pt idx="5">
                  <c:v>Włochy</c:v>
                </c:pt>
                <c:pt idx="6">
                  <c:v>Austria</c:v>
                </c:pt>
                <c:pt idx="7">
                  <c:v>Finlandia</c:v>
                </c:pt>
                <c:pt idx="8">
                  <c:v>Belgia</c:v>
                </c:pt>
                <c:pt idx="9">
                  <c:v>Francja</c:v>
                </c:pt>
                <c:pt idx="10">
                  <c:v>strefa euro</c:v>
                </c:pt>
                <c:pt idx="11">
                  <c:v>Unia Europejska</c:v>
                </c:pt>
                <c:pt idx="12">
                  <c:v>Grecja</c:v>
                </c:pt>
                <c:pt idx="13">
                  <c:v>Chorwacja</c:v>
                </c:pt>
                <c:pt idx="14">
                  <c:v>Dania</c:v>
                </c:pt>
                <c:pt idx="15">
                  <c:v>Szwecja</c:v>
                </c:pt>
                <c:pt idx="16">
                  <c:v>Holandia</c:v>
                </c:pt>
                <c:pt idx="17">
                  <c:v>Niemcy</c:v>
                </c:pt>
                <c:pt idx="18">
                  <c:v>Irlandia</c:v>
                </c:pt>
                <c:pt idx="19">
                  <c:v>Malta</c:v>
                </c:pt>
                <c:pt idx="20">
                  <c:v>Słowenia</c:v>
                </c:pt>
                <c:pt idx="21">
                  <c:v>Czechy</c:v>
                </c:pt>
                <c:pt idx="22">
                  <c:v>Estonia</c:v>
                </c:pt>
                <c:pt idx="23">
                  <c:v>Polska</c:v>
                </c:pt>
                <c:pt idx="24">
                  <c:v>Węgry</c:v>
                </c:pt>
                <c:pt idx="25">
                  <c:v>Słowacja</c:v>
                </c:pt>
                <c:pt idx="26">
                  <c:v>Bułgaria</c:v>
                </c:pt>
                <c:pt idx="27">
                  <c:v>Litwa</c:v>
                </c:pt>
                <c:pt idx="28">
                  <c:v>Łotwa</c:v>
                </c:pt>
                <c:pt idx="29">
                  <c:v>Rumunia</c:v>
                </c:pt>
              </c:strCache>
            </c:strRef>
          </c:cat>
          <c:val>
            <c:numRef>
              <c:f>Arkusz1!$B$2:$B$31</c:f>
              <c:numCache>
                <c:formatCode>General</c:formatCode>
                <c:ptCount val="30"/>
                <c:pt idx="0">
                  <c:v>2.4</c:v>
                </c:pt>
                <c:pt idx="1">
                  <c:v>1.1000000000000001</c:v>
                </c:pt>
                <c:pt idx="2">
                  <c:v>1.3</c:v>
                </c:pt>
                <c:pt idx="3">
                  <c:v>1.5</c:v>
                </c:pt>
                <c:pt idx="4">
                  <c:v>1.9</c:v>
                </c:pt>
                <c:pt idx="5">
                  <c:v>1.6</c:v>
                </c:pt>
                <c:pt idx="6">
                  <c:v>1.9</c:v>
                </c:pt>
                <c:pt idx="7">
                  <c:v>1.5</c:v>
                </c:pt>
                <c:pt idx="8">
                  <c:v>1.7000000000000013</c:v>
                </c:pt>
                <c:pt idx="9">
                  <c:v>1.8</c:v>
                </c:pt>
                <c:pt idx="10">
                  <c:v>2.1</c:v>
                </c:pt>
                <c:pt idx="11">
                  <c:v>2.4</c:v>
                </c:pt>
                <c:pt idx="12">
                  <c:v>2.1</c:v>
                </c:pt>
                <c:pt idx="13">
                  <c:v>2.5</c:v>
                </c:pt>
                <c:pt idx="14">
                  <c:v>2.7</c:v>
                </c:pt>
                <c:pt idx="15">
                  <c:v>2.6</c:v>
                </c:pt>
                <c:pt idx="16">
                  <c:v>2.8</c:v>
                </c:pt>
                <c:pt idx="17">
                  <c:v>2.6</c:v>
                </c:pt>
                <c:pt idx="18">
                  <c:v>2.5</c:v>
                </c:pt>
                <c:pt idx="19">
                  <c:v>3.1</c:v>
                </c:pt>
                <c:pt idx="20">
                  <c:v>3.4</c:v>
                </c:pt>
                <c:pt idx="21">
                  <c:v>4.5999999999999996</c:v>
                </c:pt>
                <c:pt idx="22">
                  <c:v>5.6</c:v>
                </c:pt>
                <c:pt idx="23">
                  <c:v>5.0999999999999996</c:v>
                </c:pt>
                <c:pt idx="24">
                  <c:v>6.3</c:v>
                </c:pt>
                <c:pt idx="25">
                  <c:v>4.7</c:v>
                </c:pt>
                <c:pt idx="26">
                  <c:v>4.5</c:v>
                </c:pt>
                <c:pt idx="27">
                  <c:v>6.8</c:v>
                </c:pt>
                <c:pt idx="28">
                  <c:v>6.8</c:v>
                </c:pt>
                <c:pt idx="29">
                  <c:v>6.5</c:v>
                </c:pt>
              </c:numCache>
            </c:numRef>
          </c:val>
          <c:extLst xmlns:c16r2="http://schemas.microsoft.com/office/drawing/2015/06/chart">
            <c:ext xmlns:c16="http://schemas.microsoft.com/office/drawing/2014/chart" uri="{C3380CC4-5D6E-409C-BE32-E72D297353CC}">
              <c16:uniqueId val="{00000000-0240-4284-B26D-FC5BF7359056}"/>
            </c:ext>
          </c:extLst>
        </c:ser>
        <c:ser>
          <c:idx val="1"/>
          <c:order val="1"/>
          <c:tx>
            <c:strRef>
              <c:f>Arkusz1!$C$1</c:f>
              <c:strCache>
                <c:ptCount val="1"/>
                <c:pt idx="0">
                  <c:v>realny wzrost wynagrodzeń</c:v>
                </c:pt>
              </c:strCache>
            </c:strRef>
          </c:tx>
          <c:spPr>
            <a:solidFill>
              <a:srgbClr val="39417B"/>
            </a:solidFill>
          </c:spPr>
          <c:invertIfNegative val="0"/>
          <c:dLbls>
            <c:dLbl>
              <c:idx val="3"/>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8952451415198159E-17"/>
                  <c:y val="-8.172246503911337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8952451415198159E-17"/>
                  <c:y val="-4.086123251955668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8952451415198159E-17"/>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3.8952451415198159E-17"/>
                  <c:y val="-4.086123251955668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4.086123251955668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0"/>
                  <c:y val="-8.172246503911337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3"/>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4"/>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5"/>
              <c:layout>
                <c:manualLayout>
                  <c:x val="0"/>
                  <c:y val="-8.172246503911337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6"/>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7"/>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8"/>
              <c:layout>
                <c:manualLayout>
                  <c:x val="0"/>
                  <c:y val="-4.086123251955668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9"/>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0"/>
              <c:layout>
                <c:manualLayout>
                  <c:x val="2.1247037125767736E-3"/>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1"/>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2"/>
              <c:layout>
                <c:manualLayout>
                  <c:x val="4.2494074251535471E-3"/>
                  <c:y val="-8.172246503911337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3"/>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4"/>
              <c:layout>
                <c:manualLayout>
                  <c:x val="-7.7904902830396319E-17"/>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5"/>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6"/>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7"/>
              <c:layout>
                <c:manualLayout>
                  <c:x val="0"/>
                  <c:y val="-6.12918487793350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8"/>
              <c:layout>
                <c:manualLayout>
                  <c:x val="7.7904902830396319E-17"/>
                  <c:y val="-8.172246503911332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9"/>
              <c:layout>
                <c:manualLayout>
                  <c:x val="0"/>
                  <c:y val="-1.430143138184483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1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Arkusz1!$A$2:$A$31</c:f>
              <c:strCache>
                <c:ptCount val="30"/>
                <c:pt idx="0">
                  <c:v>Wielka Brytania</c:v>
                </c:pt>
                <c:pt idx="1">
                  <c:v>Cypr</c:v>
                </c:pt>
                <c:pt idx="2">
                  <c:v>Hiszpania</c:v>
                </c:pt>
                <c:pt idx="3">
                  <c:v>Portugalia</c:v>
                </c:pt>
                <c:pt idx="4">
                  <c:v>Luksemburg</c:v>
                </c:pt>
                <c:pt idx="5">
                  <c:v>Włochy</c:v>
                </c:pt>
                <c:pt idx="6">
                  <c:v>Austria</c:v>
                </c:pt>
                <c:pt idx="7">
                  <c:v>Finlandia</c:v>
                </c:pt>
                <c:pt idx="8">
                  <c:v>Belgia</c:v>
                </c:pt>
                <c:pt idx="9">
                  <c:v>Francja</c:v>
                </c:pt>
                <c:pt idx="10">
                  <c:v>strefa euro</c:v>
                </c:pt>
                <c:pt idx="11">
                  <c:v>Unia Europejska</c:v>
                </c:pt>
                <c:pt idx="12">
                  <c:v>Grecja</c:v>
                </c:pt>
                <c:pt idx="13">
                  <c:v>Chorwacja</c:v>
                </c:pt>
                <c:pt idx="14">
                  <c:v>Dania</c:v>
                </c:pt>
                <c:pt idx="15">
                  <c:v>Szwecja</c:v>
                </c:pt>
                <c:pt idx="16">
                  <c:v>Holandia</c:v>
                </c:pt>
                <c:pt idx="17">
                  <c:v>Niemcy</c:v>
                </c:pt>
                <c:pt idx="18">
                  <c:v>Irlandia</c:v>
                </c:pt>
                <c:pt idx="19">
                  <c:v>Malta</c:v>
                </c:pt>
                <c:pt idx="20">
                  <c:v>Słowenia</c:v>
                </c:pt>
                <c:pt idx="21">
                  <c:v>Czechy</c:v>
                </c:pt>
                <c:pt idx="22">
                  <c:v>Estonia</c:v>
                </c:pt>
                <c:pt idx="23">
                  <c:v>Polska</c:v>
                </c:pt>
                <c:pt idx="24">
                  <c:v>Węgry</c:v>
                </c:pt>
                <c:pt idx="25">
                  <c:v>Słowacja</c:v>
                </c:pt>
                <c:pt idx="26">
                  <c:v>Bułgaria</c:v>
                </c:pt>
                <c:pt idx="27">
                  <c:v>Litwa</c:v>
                </c:pt>
                <c:pt idx="28">
                  <c:v>Łotwa</c:v>
                </c:pt>
                <c:pt idx="29">
                  <c:v>Rumunia</c:v>
                </c:pt>
              </c:strCache>
            </c:strRef>
          </c:cat>
          <c:val>
            <c:numRef>
              <c:f>Arkusz1!$C$2:$C$31</c:f>
              <c:numCache>
                <c:formatCode>General</c:formatCode>
                <c:ptCount val="30"/>
                <c:pt idx="0">
                  <c:v>-0.2</c:v>
                </c:pt>
                <c:pt idx="1">
                  <c:v>-0.1</c:v>
                </c:pt>
                <c:pt idx="2">
                  <c:v>-0.1</c:v>
                </c:pt>
                <c:pt idx="3">
                  <c:v>0</c:v>
                </c:pt>
                <c:pt idx="4">
                  <c:v>0.1</c:v>
                </c:pt>
                <c:pt idx="5">
                  <c:v>0.30000000000000032</c:v>
                </c:pt>
                <c:pt idx="6">
                  <c:v>0.30000000000000032</c:v>
                </c:pt>
                <c:pt idx="7">
                  <c:v>0.30000000000000032</c:v>
                </c:pt>
                <c:pt idx="8">
                  <c:v>0.4</c:v>
                </c:pt>
                <c:pt idx="9">
                  <c:v>0.5</c:v>
                </c:pt>
                <c:pt idx="10">
                  <c:v>0.70000000000000062</c:v>
                </c:pt>
                <c:pt idx="11">
                  <c:v>0.8</c:v>
                </c:pt>
                <c:pt idx="12">
                  <c:v>1</c:v>
                </c:pt>
                <c:pt idx="13">
                  <c:v>1</c:v>
                </c:pt>
                <c:pt idx="14">
                  <c:v>1.1000000000000001</c:v>
                </c:pt>
                <c:pt idx="15">
                  <c:v>1.1000000000000001</c:v>
                </c:pt>
                <c:pt idx="16">
                  <c:v>1.3</c:v>
                </c:pt>
                <c:pt idx="17">
                  <c:v>1.3</c:v>
                </c:pt>
                <c:pt idx="18">
                  <c:v>1.3</c:v>
                </c:pt>
                <c:pt idx="19">
                  <c:v>1.3</c:v>
                </c:pt>
                <c:pt idx="20">
                  <c:v>1.7000000000000013</c:v>
                </c:pt>
                <c:pt idx="21">
                  <c:v>2.6</c:v>
                </c:pt>
                <c:pt idx="22">
                  <c:v>2.6</c:v>
                </c:pt>
                <c:pt idx="23">
                  <c:v>3.1</c:v>
                </c:pt>
                <c:pt idx="24">
                  <c:v>3.2</c:v>
                </c:pt>
                <c:pt idx="25">
                  <c:v>3.3</c:v>
                </c:pt>
                <c:pt idx="26">
                  <c:v>3.5</c:v>
                </c:pt>
                <c:pt idx="27">
                  <c:v>3.5</c:v>
                </c:pt>
                <c:pt idx="28">
                  <c:v>3.7</c:v>
                </c:pt>
                <c:pt idx="29">
                  <c:v>3.9</c:v>
                </c:pt>
              </c:numCache>
            </c:numRef>
          </c:val>
          <c:extLst xmlns:c16r2="http://schemas.microsoft.com/office/drawing/2015/06/chart">
            <c:ext xmlns:c16="http://schemas.microsoft.com/office/drawing/2014/chart" uri="{C3380CC4-5D6E-409C-BE32-E72D297353CC}">
              <c16:uniqueId val="{00000001-0240-4284-B26D-FC5BF7359056}"/>
            </c:ext>
          </c:extLst>
        </c:ser>
        <c:dLbls>
          <c:showLegendKey val="0"/>
          <c:showVal val="0"/>
          <c:showCatName val="0"/>
          <c:showSerName val="0"/>
          <c:showPercent val="0"/>
          <c:showBubbleSize val="0"/>
        </c:dLbls>
        <c:gapWidth val="150"/>
        <c:axId val="575800512"/>
        <c:axId val="575795808"/>
      </c:barChart>
      <c:catAx>
        <c:axId val="575800512"/>
        <c:scaling>
          <c:orientation val="minMax"/>
        </c:scaling>
        <c:delete val="0"/>
        <c:axPos val="l"/>
        <c:numFmt formatCode="General" sourceLinked="0"/>
        <c:majorTickMark val="out"/>
        <c:minorTickMark val="none"/>
        <c:tickLblPos val="low"/>
        <c:txPr>
          <a:bodyPr anchor="b" anchorCtr="1"/>
          <a:lstStyle/>
          <a:p>
            <a:pPr>
              <a:defRPr sz="1200" baseline="0">
                <a:solidFill>
                  <a:srgbClr val="565350"/>
                </a:solidFill>
                <a:latin typeface="Calibri" pitchFamily="34" charset="0"/>
              </a:defRPr>
            </a:pPr>
            <a:endParaRPr lang="pl-PL"/>
          </a:p>
        </c:txPr>
        <c:crossAx val="575795808"/>
        <c:crosses val="autoZero"/>
        <c:auto val="1"/>
        <c:lblAlgn val="ctr"/>
        <c:lblOffset val="100"/>
        <c:noMultiLvlLbl val="0"/>
      </c:catAx>
      <c:valAx>
        <c:axId val="575795808"/>
        <c:scaling>
          <c:orientation val="minMax"/>
        </c:scaling>
        <c:delete val="0"/>
        <c:axPos val="b"/>
        <c:majorGridlines>
          <c:spPr>
            <a:ln>
              <a:solidFill>
                <a:schemeClr val="bg1"/>
              </a:solidFill>
            </a:ln>
          </c:spPr>
        </c:majorGridlines>
        <c:numFmt formatCode="General" sourceLinked="1"/>
        <c:majorTickMark val="out"/>
        <c:minorTickMark val="none"/>
        <c:tickLblPos val="nextTo"/>
        <c:txPr>
          <a:bodyPr/>
          <a:lstStyle/>
          <a:p>
            <a:pPr>
              <a:defRPr sz="1200" baseline="0">
                <a:solidFill>
                  <a:srgbClr val="565350"/>
                </a:solidFill>
                <a:latin typeface="Calibri" pitchFamily="34" charset="0"/>
              </a:defRPr>
            </a:pPr>
            <a:endParaRPr lang="pl-PL"/>
          </a:p>
        </c:txPr>
        <c:crossAx val="575800512"/>
        <c:crosses val="autoZero"/>
        <c:crossBetween val="between"/>
      </c:valAx>
    </c:plotArea>
    <c:legend>
      <c:legendPos val="r"/>
      <c:layout/>
      <c:overlay val="0"/>
      <c:txPr>
        <a:bodyPr/>
        <a:lstStyle/>
        <a:p>
          <a:pPr>
            <a:defRPr sz="1200" baseline="0">
              <a:solidFill>
                <a:srgbClr val="565350"/>
              </a:solidFill>
              <a:latin typeface="Calibri" pitchFamily="34" charset="0"/>
            </a:defRPr>
          </a:pPr>
          <a:endParaRPr lang="pl-PL"/>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3099889926604344"/>
          <c:y val="1.4125860007144077E-2"/>
          <c:w val="0.69550137915928822"/>
          <c:h val="0.9422935594589138"/>
        </c:manualLayout>
      </c:layout>
      <c:barChart>
        <c:barDir val="bar"/>
        <c:grouping val="clustered"/>
        <c:varyColors val="0"/>
        <c:ser>
          <c:idx val="0"/>
          <c:order val="0"/>
          <c:tx>
            <c:strRef>
              <c:f>Arkusz1!$B$1</c:f>
              <c:strCache>
                <c:ptCount val="1"/>
                <c:pt idx="0">
                  <c:v>nominalny wzrost wynagrodzeń</c:v>
                </c:pt>
              </c:strCache>
            </c:strRef>
          </c:tx>
          <c:spPr>
            <a:solidFill>
              <a:srgbClr val="77C3D8"/>
            </a:solidFill>
          </c:spPr>
          <c:invertIfNegative val="0"/>
          <c:dLbls>
            <c:spPr>
              <a:noFill/>
              <a:ln>
                <a:noFill/>
              </a:ln>
              <a:effectLst/>
            </c:spPr>
            <c:txPr>
              <a:bodyPr/>
              <a:lstStyle/>
              <a:p>
                <a:pPr>
                  <a:defRPr sz="1100" baseline="0">
                    <a:solidFill>
                      <a:srgbClr val="565350"/>
                    </a:solidFill>
                    <a:latin typeface="Calibri" pitchFamily="34" charset="0"/>
                  </a:defRPr>
                </a:pPr>
                <a:endParaRPr lang="pl-PL"/>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Arkusz1!$A$2:$A$31</c:f>
              <c:strCache>
                <c:ptCount val="30"/>
                <c:pt idx="0">
                  <c:v>Cypr</c:v>
                </c:pt>
                <c:pt idx="1">
                  <c:v>Grecja</c:v>
                </c:pt>
                <c:pt idx="2">
                  <c:v>Finlandia</c:v>
                </c:pt>
                <c:pt idx="3">
                  <c:v>Portugalia</c:v>
                </c:pt>
                <c:pt idx="4">
                  <c:v>Szwajcaria</c:v>
                </c:pt>
                <c:pt idx="5">
                  <c:v>Belgia</c:v>
                </c:pt>
                <c:pt idx="6">
                  <c:v>Irlandia</c:v>
                </c:pt>
                <c:pt idx="7">
                  <c:v>Hiszpania</c:v>
                </c:pt>
                <c:pt idx="8">
                  <c:v>Francja</c:v>
                </c:pt>
                <c:pt idx="9">
                  <c:v>Dania</c:v>
                </c:pt>
                <c:pt idx="10">
                  <c:v>Austria</c:v>
                </c:pt>
                <c:pt idx="11">
                  <c:v>Czechy</c:v>
                </c:pt>
                <c:pt idx="12">
                  <c:v>Włochy</c:v>
                </c:pt>
                <c:pt idx="13">
                  <c:v>Słowacja</c:v>
                </c:pt>
                <c:pt idx="14">
                  <c:v>Holandia</c:v>
                </c:pt>
                <c:pt idx="15">
                  <c:v>Luksemburg</c:v>
                </c:pt>
                <c:pt idx="16">
                  <c:v>Szwecja</c:v>
                </c:pt>
                <c:pt idx="17">
                  <c:v>Wielka Brytania</c:v>
                </c:pt>
                <c:pt idx="18">
                  <c:v>Norwegia</c:v>
                </c:pt>
                <c:pt idx="19">
                  <c:v>Polska</c:v>
                </c:pt>
                <c:pt idx="20">
                  <c:v>Niemcy</c:v>
                </c:pt>
                <c:pt idx="21">
                  <c:v>Estonia</c:v>
                </c:pt>
                <c:pt idx="22">
                  <c:v>Węgry</c:v>
                </c:pt>
                <c:pt idx="23">
                  <c:v>Łotwa</c:v>
                </c:pt>
                <c:pt idx="24">
                  <c:v>Litwa</c:v>
                </c:pt>
                <c:pt idx="25">
                  <c:v>Bułgaria</c:v>
                </c:pt>
                <c:pt idx="26">
                  <c:v>Rumunia</c:v>
                </c:pt>
                <c:pt idx="27">
                  <c:v>Rosja</c:v>
                </c:pt>
                <c:pt idx="28">
                  <c:v>Turcja</c:v>
                </c:pt>
                <c:pt idx="29">
                  <c:v>Ukraina</c:v>
                </c:pt>
              </c:strCache>
            </c:strRef>
          </c:cat>
          <c:val>
            <c:numRef>
              <c:f>Arkusz1!$B$2:$B$31</c:f>
              <c:numCache>
                <c:formatCode>General</c:formatCode>
                <c:ptCount val="30"/>
                <c:pt idx="0">
                  <c:v>2</c:v>
                </c:pt>
                <c:pt idx="1">
                  <c:v>2.1</c:v>
                </c:pt>
                <c:pt idx="2">
                  <c:v>2.2000000000000002</c:v>
                </c:pt>
                <c:pt idx="3">
                  <c:v>2.2000000000000002</c:v>
                </c:pt>
                <c:pt idx="4">
                  <c:v>2.2000000000000002</c:v>
                </c:pt>
                <c:pt idx="5">
                  <c:v>2.2999999999999998</c:v>
                </c:pt>
                <c:pt idx="6">
                  <c:v>2.5</c:v>
                </c:pt>
                <c:pt idx="7">
                  <c:v>2.5</c:v>
                </c:pt>
                <c:pt idx="8">
                  <c:v>2.5</c:v>
                </c:pt>
                <c:pt idx="9">
                  <c:v>2.6</c:v>
                </c:pt>
                <c:pt idx="10">
                  <c:v>2.7</c:v>
                </c:pt>
                <c:pt idx="11">
                  <c:v>2.7</c:v>
                </c:pt>
                <c:pt idx="12">
                  <c:v>2.7</c:v>
                </c:pt>
                <c:pt idx="13">
                  <c:v>2.8</c:v>
                </c:pt>
                <c:pt idx="14">
                  <c:v>2.8</c:v>
                </c:pt>
                <c:pt idx="15">
                  <c:v>2.8</c:v>
                </c:pt>
                <c:pt idx="16">
                  <c:v>2.9</c:v>
                </c:pt>
                <c:pt idx="17">
                  <c:v>3</c:v>
                </c:pt>
                <c:pt idx="18">
                  <c:v>3</c:v>
                </c:pt>
                <c:pt idx="19">
                  <c:v>3</c:v>
                </c:pt>
                <c:pt idx="20">
                  <c:v>3</c:v>
                </c:pt>
                <c:pt idx="21">
                  <c:v>3.2</c:v>
                </c:pt>
                <c:pt idx="22">
                  <c:v>3.4</c:v>
                </c:pt>
                <c:pt idx="23">
                  <c:v>3.5</c:v>
                </c:pt>
                <c:pt idx="24">
                  <c:v>3.6</c:v>
                </c:pt>
                <c:pt idx="25">
                  <c:v>4</c:v>
                </c:pt>
                <c:pt idx="26">
                  <c:v>4.5999999999999996</c:v>
                </c:pt>
                <c:pt idx="27">
                  <c:v>8</c:v>
                </c:pt>
                <c:pt idx="28">
                  <c:v>9.2000000000000011</c:v>
                </c:pt>
                <c:pt idx="29">
                  <c:v>11.6</c:v>
                </c:pt>
              </c:numCache>
            </c:numRef>
          </c:val>
          <c:extLst xmlns:c16r2="http://schemas.microsoft.com/office/drawing/2015/06/chart">
            <c:ext xmlns:c16="http://schemas.microsoft.com/office/drawing/2014/chart" uri="{C3380CC4-5D6E-409C-BE32-E72D297353CC}">
              <c16:uniqueId val="{00000000-CB50-4C58-9A26-C111C2F32595}"/>
            </c:ext>
          </c:extLst>
        </c:ser>
        <c:ser>
          <c:idx val="1"/>
          <c:order val="1"/>
          <c:tx>
            <c:strRef>
              <c:f>Arkusz1!$C$1</c:f>
              <c:strCache>
                <c:ptCount val="1"/>
                <c:pt idx="0">
                  <c:v>realny wzrost wynagrodzeń</c:v>
                </c:pt>
              </c:strCache>
            </c:strRef>
          </c:tx>
          <c:spPr>
            <a:solidFill>
              <a:srgbClr val="39417B"/>
            </a:solidFill>
          </c:spPr>
          <c:invertIfNegative val="0"/>
          <c:dLbls>
            <c:dLbl>
              <c:idx val="0"/>
              <c:layout>
                <c:manualLayout>
                  <c:x val="3.457448665261441E-17"/>
                  <c:y val="-7.8895463510848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7.8895463510848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457448665261441E-17"/>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8859028760018859E-3"/>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457448665261441E-17"/>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457448665261441E-17"/>
                  <c:y val="-9.861932938856015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
                  <c:y val="-7.8895463510848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7.8895463510848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5.917159763313537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3"/>
              <c:layout>
                <c:manualLayout>
                  <c:x val="0"/>
                  <c:y val="-3.944773175542478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4"/>
              <c:layout>
                <c:manualLayout>
                  <c:x val="0"/>
                  <c:y val="-3.944773175542406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5"/>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6"/>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7"/>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8"/>
              <c:layout>
                <c:manualLayout>
                  <c:x val="-3.457448665261441E-17"/>
                  <c:y val="-7.88954635108481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9"/>
              <c:layout>
                <c:manualLayout>
                  <c:x val="1.8859028760018859E-3"/>
                  <c:y val="-7.8897016571153819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0"/>
              <c:layout>
                <c:manualLayout>
                  <c:x val="0"/>
                  <c:y val="-5.9171597633135729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1"/>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2"/>
              <c:layout>
                <c:manualLayout>
                  <c:x val="1.8859028760019204E-3"/>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3"/>
              <c:layout>
                <c:manualLayout>
                  <c:x val="-3.457448665261441E-17"/>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4"/>
              <c:layout>
                <c:manualLayout>
                  <c:x val="0"/>
                  <c:y val="-5.917159763313591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5"/>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6"/>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7"/>
              <c:layout>
                <c:manualLayout>
                  <c:x val="0"/>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8"/>
              <c:layout>
                <c:manualLayout>
                  <c:x val="3.457448665261441E-17"/>
                  <c:y val="-5.917159763313609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9"/>
              <c:layout>
                <c:manualLayout>
                  <c:x val="-1.8859028760018859E-3"/>
                  <c:y val="-3.9447731755424065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1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Arkusz1!$A$2:$A$31</c:f>
              <c:strCache>
                <c:ptCount val="30"/>
                <c:pt idx="0">
                  <c:v>Cypr</c:v>
                </c:pt>
                <c:pt idx="1">
                  <c:v>Grecja</c:v>
                </c:pt>
                <c:pt idx="2">
                  <c:v>Finlandia</c:v>
                </c:pt>
                <c:pt idx="3">
                  <c:v>Portugalia</c:v>
                </c:pt>
                <c:pt idx="4">
                  <c:v>Szwajcaria</c:v>
                </c:pt>
                <c:pt idx="5">
                  <c:v>Belgia</c:v>
                </c:pt>
                <c:pt idx="6">
                  <c:v>Irlandia</c:v>
                </c:pt>
                <c:pt idx="7">
                  <c:v>Hiszpania</c:v>
                </c:pt>
                <c:pt idx="8">
                  <c:v>Francja</c:v>
                </c:pt>
                <c:pt idx="9">
                  <c:v>Dania</c:v>
                </c:pt>
                <c:pt idx="10">
                  <c:v>Austria</c:v>
                </c:pt>
                <c:pt idx="11">
                  <c:v>Czechy</c:v>
                </c:pt>
                <c:pt idx="12">
                  <c:v>Włochy</c:v>
                </c:pt>
                <c:pt idx="13">
                  <c:v>Słowacja</c:v>
                </c:pt>
                <c:pt idx="14">
                  <c:v>Holandia</c:v>
                </c:pt>
                <c:pt idx="15">
                  <c:v>Luksemburg</c:v>
                </c:pt>
                <c:pt idx="16">
                  <c:v>Szwecja</c:v>
                </c:pt>
                <c:pt idx="17">
                  <c:v>Wielka Brytania</c:v>
                </c:pt>
                <c:pt idx="18">
                  <c:v>Norwegia</c:v>
                </c:pt>
                <c:pt idx="19">
                  <c:v>Polska</c:v>
                </c:pt>
                <c:pt idx="20">
                  <c:v>Niemcy</c:v>
                </c:pt>
                <c:pt idx="21">
                  <c:v>Estonia</c:v>
                </c:pt>
                <c:pt idx="22">
                  <c:v>Węgry</c:v>
                </c:pt>
                <c:pt idx="23">
                  <c:v>Łotwa</c:v>
                </c:pt>
                <c:pt idx="24">
                  <c:v>Litwa</c:v>
                </c:pt>
                <c:pt idx="25">
                  <c:v>Bułgaria</c:v>
                </c:pt>
                <c:pt idx="26">
                  <c:v>Rumunia</c:v>
                </c:pt>
                <c:pt idx="27">
                  <c:v>Rosja</c:v>
                </c:pt>
                <c:pt idx="28">
                  <c:v>Turcja</c:v>
                </c:pt>
                <c:pt idx="29">
                  <c:v>Ukraina</c:v>
                </c:pt>
              </c:strCache>
            </c:strRef>
          </c:cat>
          <c:val>
            <c:numRef>
              <c:f>Arkusz1!$C$2:$C$31</c:f>
              <c:numCache>
                <c:formatCode>General</c:formatCode>
                <c:ptCount val="30"/>
                <c:pt idx="0">
                  <c:v>0.60000000000000064</c:v>
                </c:pt>
                <c:pt idx="1">
                  <c:v>0.4</c:v>
                </c:pt>
                <c:pt idx="2">
                  <c:v>0.60000000000000064</c:v>
                </c:pt>
                <c:pt idx="3">
                  <c:v>0.8</c:v>
                </c:pt>
                <c:pt idx="4">
                  <c:v>1.5</c:v>
                </c:pt>
                <c:pt idx="5">
                  <c:v>0.60000000000000064</c:v>
                </c:pt>
                <c:pt idx="6">
                  <c:v>1</c:v>
                </c:pt>
                <c:pt idx="7">
                  <c:v>1.1000000000000001</c:v>
                </c:pt>
                <c:pt idx="8">
                  <c:v>1.3</c:v>
                </c:pt>
                <c:pt idx="9">
                  <c:v>1.5</c:v>
                </c:pt>
                <c:pt idx="10">
                  <c:v>0.9</c:v>
                </c:pt>
                <c:pt idx="11">
                  <c:v>0.9</c:v>
                </c:pt>
                <c:pt idx="12">
                  <c:v>1.4</c:v>
                </c:pt>
                <c:pt idx="13">
                  <c:v>1.3</c:v>
                </c:pt>
                <c:pt idx="14">
                  <c:v>1.4</c:v>
                </c:pt>
                <c:pt idx="15">
                  <c:v>1.5</c:v>
                </c:pt>
                <c:pt idx="16">
                  <c:v>1.3</c:v>
                </c:pt>
                <c:pt idx="17">
                  <c:v>0.4</c:v>
                </c:pt>
                <c:pt idx="18">
                  <c:v>0.5</c:v>
                </c:pt>
                <c:pt idx="19">
                  <c:v>0.70000000000000062</c:v>
                </c:pt>
                <c:pt idx="20">
                  <c:v>1.3</c:v>
                </c:pt>
                <c:pt idx="21">
                  <c:v>0.70000000000000062</c:v>
                </c:pt>
                <c:pt idx="22">
                  <c:v>0.1</c:v>
                </c:pt>
                <c:pt idx="23">
                  <c:v>1</c:v>
                </c:pt>
                <c:pt idx="24">
                  <c:v>1.6</c:v>
                </c:pt>
                <c:pt idx="25">
                  <c:v>2.2000000000000002</c:v>
                </c:pt>
                <c:pt idx="26">
                  <c:v>1.5</c:v>
                </c:pt>
                <c:pt idx="27">
                  <c:v>3.8</c:v>
                </c:pt>
                <c:pt idx="28">
                  <c:v>0.1</c:v>
                </c:pt>
                <c:pt idx="29">
                  <c:v>2.1</c:v>
                </c:pt>
              </c:numCache>
            </c:numRef>
          </c:val>
          <c:extLst xmlns:c16r2="http://schemas.microsoft.com/office/drawing/2015/06/chart">
            <c:ext xmlns:c16="http://schemas.microsoft.com/office/drawing/2014/chart" uri="{C3380CC4-5D6E-409C-BE32-E72D297353CC}">
              <c16:uniqueId val="{00000001-CB50-4C58-9A26-C111C2F32595}"/>
            </c:ext>
          </c:extLst>
        </c:ser>
        <c:dLbls>
          <c:showLegendKey val="0"/>
          <c:showVal val="0"/>
          <c:showCatName val="0"/>
          <c:showSerName val="0"/>
          <c:showPercent val="0"/>
          <c:showBubbleSize val="0"/>
        </c:dLbls>
        <c:gapWidth val="150"/>
        <c:axId val="575794240"/>
        <c:axId val="575792280"/>
      </c:barChart>
      <c:catAx>
        <c:axId val="575794240"/>
        <c:scaling>
          <c:orientation val="minMax"/>
        </c:scaling>
        <c:delete val="0"/>
        <c:axPos val="l"/>
        <c:numFmt formatCode="General" sourceLinked="0"/>
        <c:majorTickMark val="out"/>
        <c:minorTickMark val="none"/>
        <c:tickLblPos val="nextTo"/>
        <c:txPr>
          <a:bodyPr/>
          <a:lstStyle/>
          <a:p>
            <a:pPr>
              <a:defRPr sz="1200" baseline="0">
                <a:solidFill>
                  <a:srgbClr val="565350"/>
                </a:solidFill>
                <a:latin typeface="Calibri" pitchFamily="34" charset="0"/>
              </a:defRPr>
            </a:pPr>
            <a:endParaRPr lang="pl-PL"/>
          </a:p>
        </c:txPr>
        <c:crossAx val="575792280"/>
        <c:crosses val="autoZero"/>
        <c:auto val="1"/>
        <c:lblAlgn val="ctr"/>
        <c:lblOffset val="100"/>
        <c:noMultiLvlLbl val="0"/>
      </c:catAx>
      <c:valAx>
        <c:axId val="575792280"/>
        <c:scaling>
          <c:orientation val="minMax"/>
          <c:max val="12"/>
        </c:scaling>
        <c:delete val="0"/>
        <c:axPos val="b"/>
        <c:majorGridlines>
          <c:spPr>
            <a:ln>
              <a:solidFill>
                <a:sysClr val="window" lastClr="FFFFFF"/>
              </a:solidFill>
            </a:ln>
          </c:spPr>
        </c:majorGridlines>
        <c:numFmt formatCode="General" sourceLinked="0"/>
        <c:majorTickMark val="out"/>
        <c:minorTickMark val="none"/>
        <c:tickLblPos val="nextTo"/>
        <c:txPr>
          <a:bodyPr/>
          <a:lstStyle/>
          <a:p>
            <a:pPr>
              <a:defRPr sz="1200" baseline="0">
                <a:solidFill>
                  <a:srgbClr val="565350"/>
                </a:solidFill>
                <a:latin typeface="Calibri" pitchFamily="34" charset="0"/>
              </a:defRPr>
            </a:pPr>
            <a:endParaRPr lang="pl-PL"/>
          </a:p>
        </c:txPr>
        <c:crossAx val="575794240"/>
        <c:crosses val="autoZero"/>
        <c:crossBetween val="between"/>
        <c:majorUnit val="2"/>
      </c:valAx>
    </c:plotArea>
    <c:legend>
      <c:legendPos val="r"/>
      <c:layout/>
      <c:overlay val="0"/>
      <c:txPr>
        <a:bodyPr/>
        <a:lstStyle/>
        <a:p>
          <a:pPr>
            <a:defRPr sz="1200" baseline="0">
              <a:solidFill>
                <a:srgbClr val="565350"/>
              </a:solidFill>
              <a:latin typeface="Calibri" pitchFamily="34" charset="0"/>
            </a:defRPr>
          </a:pPr>
          <a:endParaRPr lang="pl-PL"/>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Arkusz1!$B$1</c:f>
              <c:strCache>
                <c:ptCount val="1"/>
                <c:pt idx="0">
                  <c:v>Kolumna1</c:v>
                </c:pt>
              </c:strCache>
            </c:strRef>
          </c:tx>
          <c:invertIfNegative val="0"/>
          <c:dPt>
            <c:idx val="0"/>
            <c:invertIfNegative val="0"/>
            <c:bubble3D val="0"/>
            <c:spPr>
              <a:solidFill>
                <a:srgbClr val="39417B"/>
              </a:solidFill>
            </c:spPr>
            <c:extLst xmlns:c16r2="http://schemas.microsoft.com/office/drawing/2015/06/chart">
              <c:ext xmlns:c16="http://schemas.microsoft.com/office/drawing/2014/chart" uri="{C3380CC4-5D6E-409C-BE32-E72D297353CC}">
                <c16:uniqueId val="{00000000-0DFA-4CD1-BA6B-BFCC5340B299}"/>
              </c:ext>
            </c:extLst>
          </c:dPt>
          <c:dPt>
            <c:idx val="1"/>
            <c:invertIfNegative val="0"/>
            <c:bubble3D val="0"/>
            <c:spPr>
              <a:solidFill>
                <a:srgbClr val="39417B"/>
              </a:solidFill>
            </c:spPr>
            <c:extLst xmlns:c16r2="http://schemas.microsoft.com/office/drawing/2015/06/chart">
              <c:ext xmlns:c16="http://schemas.microsoft.com/office/drawing/2014/chart" uri="{C3380CC4-5D6E-409C-BE32-E72D297353CC}">
                <c16:uniqueId val="{00000001-0DFA-4CD1-BA6B-BFCC5340B299}"/>
              </c:ext>
            </c:extLst>
          </c:dPt>
          <c:dPt>
            <c:idx val="2"/>
            <c:invertIfNegative val="0"/>
            <c:bubble3D val="0"/>
            <c:spPr>
              <a:solidFill>
                <a:srgbClr val="77C3D8"/>
              </a:solidFill>
            </c:spPr>
            <c:extLst xmlns:c16r2="http://schemas.microsoft.com/office/drawing/2015/06/chart">
              <c:ext xmlns:c16="http://schemas.microsoft.com/office/drawing/2014/chart" uri="{C3380CC4-5D6E-409C-BE32-E72D297353CC}">
                <c16:uniqueId val="{00000002-0DFA-4CD1-BA6B-BFCC5340B299}"/>
              </c:ext>
            </c:extLst>
          </c:dPt>
          <c:dPt>
            <c:idx val="3"/>
            <c:invertIfNegative val="0"/>
            <c:bubble3D val="0"/>
            <c:spPr>
              <a:solidFill>
                <a:srgbClr val="77C3D8"/>
              </a:solidFill>
            </c:spPr>
            <c:extLst xmlns:c16r2="http://schemas.microsoft.com/office/drawing/2015/06/chart">
              <c:ext xmlns:c16="http://schemas.microsoft.com/office/drawing/2014/chart" uri="{C3380CC4-5D6E-409C-BE32-E72D297353CC}">
                <c16:uniqueId val="{00000003-0DFA-4CD1-BA6B-BFCC5340B299}"/>
              </c:ext>
            </c:extLst>
          </c:dPt>
          <c:dLbls>
            <c:spPr>
              <a:noFill/>
              <a:ln>
                <a:noFill/>
              </a:ln>
              <a:effectLst/>
            </c:spPr>
            <c:txPr>
              <a:bodyPr/>
              <a:lstStyle/>
              <a:p>
                <a:pPr>
                  <a:defRPr sz="12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Arkusz1!$A$2:$A$5</c:f>
              <c:strCache>
                <c:ptCount val="4"/>
                <c:pt idx="0">
                  <c:v>NBP</c:v>
                </c:pt>
                <c:pt idx="1">
                  <c:v>Komisja Europejska</c:v>
                </c:pt>
                <c:pt idx="2">
                  <c:v>Ministerstwo Finansów</c:v>
                </c:pt>
                <c:pt idx="3">
                  <c:v>ERI</c:v>
                </c:pt>
              </c:strCache>
            </c:strRef>
          </c:cat>
          <c:val>
            <c:numRef>
              <c:f>Arkusz1!$B$2:$B$5</c:f>
              <c:numCache>
                <c:formatCode>General</c:formatCode>
                <c:ptCount val="4"/>
                <c:pt idx="0">
                  <c:v>6</c:v>
                </c:pt>
                <c:pt idx="1">
                  <c:v>5.0999999999999996</c:v>
                </c:pt>
                <c:pt idx="2">
                  <c:v>4.7</c:v>
                </c:pt>
                <c:pt idx="3">
                  <c:v>3</c:v>
                </c:pt>
              </c:numCache>
            </c:numRef>
          </c:val>
          <c:extLst xmlns:c16r2="http://schemas.microsoft.com/office/drawing/2015/06/chart">
            <c:ext xmlns:c16="http://schemas.microsoft.com/office/drawing/2014/chart" uri="{C3380CC4-5D6E-409C-BE32-E72D297353CC}">
              <c16:uniqueId val="{00000004-0DFA-4CD1-BA6B-BFCC5340B299}"/>
            </c:ext>
          </c:extLst>
        </c:ser>
        <c:dLbls>
          <c:showLegendKey val="0"/>
          <c:showVal val="0"/>
          <c:showCatName val="0"/>
          <c:showSerName val="0"/>
          <c:showPercent val="0"/>
          <c:showBubbleSize val="0"/>
        </c:dLbls>
        <c:gapWidth val="150"/>
        <c:axId val="575795416"/>
        <c:axId val="575794632"/>
      </c:barChart>
      <c:catAx>
        <c:axId val="575795416"/>
        <c:scaling>
          <c:orientation val="minMax"/>
        </c:scaling>
        <c:delete val="0"/>
        <c:axPos val="b"/>
        <c:numFmt formatCode="General" sourceLinked="0"/>
        <c:majorTickMark val="out"/>
        <c:minorTickMark val="none"/>
        <c:tickLblPos val="nextTo"/>
        <c:txPr>
          <a:bodyPr/>
          <a:lstStyle/>
          <a:p>
            <a:pPr>
              <a:defRPr sz="1200" baseline="0">
                <a:solidFill>
                  <a:srgbClr val="565350"/>
                </a:solidFill>
              </a:defRPr>
            </a:pPr>
            <a:endParaRPr lang="pl-PL"/>
          </a:p>
        </c:txPr>
        <c:crossAx val="575794632"/>
        <c:crosses val="autoZero"/>
        <c:auto val="1"/>
        <c:lblAlgn val="ctr"/>
        <c:lblOffset val="100"/>
        <c:noMultiLvlLbl val="0"/>
      </c:catAx>
      <c:valAx>
        <c:axId val="575794632"/>
        <c:scaling>
          <c:orientation val="minMax"/>
        </c:scaling>
        <c:delete val="0"/>
        <c:axPos val="l"/>
        <c:majorGridlines>
          <c:spPr>
            <a:ln>
              <a:solidFill>
                <a:sysClr val="window" lastClr="FFFFFF"/>
              </a:solidFill>
            </a:ln>
          </c:spPr>
        </c:majorGridlines>
        <c:numFmt formatCode="General" sourceLinked="1"/>
        <c:majorTickMark val="out"/>
        <c:minorTickMark val="none"/>
        <c:tickLblPos val="nextTo"/>
        <c:txPr>
          <a:bodyPr/>
          <a:lstStyle/>
          <a:p>
            <a:pPr>
              <a:defRPr sz="1200" baseline="0">
                <a:solidFill>
                  <a:srgbClr val="565350"/>
                </a:solidFill>
                <a:latin typeface="Calibri" pitchFamily="34" charset="0"/>
              </a:defRPr>
            </a:pPr>
            <a:endParaRPr lang="pl-PL"/>
          </a:p>
        </c:txPr>
        <c:crossAx val="575795416"/>
        <c:crosses val="autoZero"/>
        <c:crossBetween val="between"/>
      </c:valAx>
    </c:plotArea>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541442345076374"/>
          <c:y val="1.9519518050943287E-2"/>
          <c:w val="0.78521202102727983"/>
          <c:h val="0.90976729017810565"/>
        </c:manualLayout>
      </c:layout>
      <c:barChart>
        <c:barDir val="bar"/>
        <c:grouping val="clustered"/>
        <c:varyColors val="0"/>
        <c:ser>
          <c:idx val="0"/>
          <c:order val="0"/>
          <c:tx>
            <c:strRef>
              <c:f>Arkusz1!$B$1</c:f>
              <c:strCache>
                <c:ptCount val="1"/>
                <c:pt idx="0">
                  <c:v>dynamika realnego PKB</c:v>
                </c:pt>
              </c:strCache>
            </c:strRef>
          </c:tx>
          <c:spPr>
            <a:solidFill>
              <a:srgbClr val="F6A047"/>
            </a:solidFill>
          </c:spPr>
          <c:invertIfNegative val="0"/>
          <c:dLbls>
            <c:dLbl>
              <c:idx val="20"/>
              <c:layout>
                <c:manualLayout>
                  <c:x val="-2.1430924249951399E-3"/>
                  <c:y val="1.774501640994844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3"/>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7"/>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Arkusz1!$A$2:$A$31</c:f>
              <c:strCache>
                <c:ptCount val="30"/>
                <c:pt idx="0">
                  <c:v>Włochy</c:v>
                </c:pt>
                <c:pt idx="1">
                  <c:v>Wielka Brytania</c:v>
                </c:pt>
                <c:pt idx="2">
                  <c:v>Portugalia</c:v>
                </c:pt>
                <c:pt idx="3">
                  <c:v>Belgia</c:v>
                </c:pt>
                <c:pt idx="4">
                  <c:v>Francja</c:v>
                </c:pt>
                <c:pt idx="5">
                  <c:v>Austria</c:v>
                </c:pt>
                <c:pt idx="6">
                  <c:v>Finlandia</c:v>
                </c:pt>
                <c:pt idx="7">
                  <c:v>Holandia</c:v>
                </c:pt>
                <c:pt idx="8">
                  <c:v>strefa euro</c:v>
                </c:pt>
                <c:pt idx="9">
                  <c:v>Dania</c:v>
                </c:pt>
                <c:pt idx="10">
                  <c:v>Niemcy</c:v>
                </c:pt>
                <c:pt idx="11">
                  <c:v>Unia Europejska</c:v>
                </c:pt>
                <c:pt idx="12">
                  <c:v>Szwecja</c:v>
                </c:pt>
                <c:pt idx="13">
                  <c:v>Cypr</c:v>
                </c:pt>
                <c:pt idx="14">
                  <c:v>Hiszpania</c:v>
                </c:pt>
                <c:pt idx="15">
                  <c:v>Grecja</c:v>
                </c:pt>
                <c:pt idx="16">
                  <c:v>Chorwacja</c:v>
                </c:pt>
                <c:pt idx="17">
                  <c:v>Czechy</c:v>
                </c:pt>
                <c:pt idx="18">
                  <c:v>Estonia</c:v>
                </c:pt>
                <c:pt idx="19">
                  <c:v>Bułgaria</c:v>
                </c:pt>
                <c:pt idx="20">
                  <c:v>Litwa</c:v>
                </c:pt>
                <c:pt idx="21">
                  <c:v>Słowenia</c:v>
                </c:pt>
                <c:pt idx="22">
                  <c:v>Polska</c:v>
                </c:pt>
                <c:pt idx="23">
                  <c:v>Łotwa</c:v>
                </c:pt>
                <c:pt idx="24">
                  <c:v>Węgry</c:v>
                </c:pt>
                <c:pt idx="25">
                  <c:v>Irlandia</c:v>
                </c:pt>
                <c:pt idx="26">
                  <c:v>Słowacja</c:v>
                </c:pt>
                <c:pt idx="27">
                  <c:v>Rumunia</c:v>
                </c:pt>
                <c:pt idx="28">
                  <c:v>Luksemburg</c:v>
                </c:pt>
                <c:pt idx="29">
                  <c:v>Malta</c:v>
                </c:pt>
              </c:strCache>
            </c:strRef>
          </c:cat>
          <c:val>
            <c:numRef>
              <c:f>Arkusz1!$B$2:$B$31</c:f>
              <c:numCache>
                <c:formatCode>General</c:formatCode>
                <c:ptCount val="30"/>
                <c:pt idx="0">
                  <c:v>1.1000000000000001</c:v>
                </c:pt>
                <c:pt idx="1">
                  <c:v>1.3</c:v>
                </c:pt>
                <c:pt idx="2">
                  <c:v>1.6</c:v>
                </c:pt>
                <c:pt idx="3">
                  <c:v>1.7</c:v>
                </c:pt>
                <c:pt idx="4">
                  <c:v>1.7</c:v>
                </c:pt>
                <c:pt idx="5">
                  <c:v>1.7</c:v>
                </c:pt>
                <c:pt idx="6">
                  <c:v>1.7</c:v>
                </c:pt>
                <c:pt idx="7">
                  <c:v>1.8</c:v>
                </c:pt>
                <c:pt idx="8">
                  <c:v>1.8</c:v>
                </c:pt>
                <c:pt idx="9">
                  <c:v>1.8</c:v>
                </c:pt>
                <c:pt idx="10">
                  <c:v>1.9000000000000001</c:v>
                </c:pt>
                <c:pt idx="11">
                  <c:v>1.9000000000000001</c:v>
                </c:pt>
                <c:pt idx="12">
                  <c:v>2.2000000000000002</c:v>
                </c:pt>
                <c:pt idx="13">
                  <c:v>2.2999999999999998</c:v>
                </c:pt>
                <c:pt idx="14">
                  <c:v>2.4</c:v>
                </c:pt>
                <c:pt idx="15">
                  <c:v>2.5</c:v>
                </c:pt>
                <c:pt idx="16">
                  <c:v>2.6</c:v>
                </c:pt>
                <c:pt idx="17">
                  <c:v>2.7</c:v>
                </c:pt>
                <c:pt idx="18">
                  <c:v>2.8</c:v>
                </c:pt>
                <c:pt idx="19">
                  <c:v>2.8</c:v>
                </c:pt>
                <c:pt idx="20">
                  <c:v>3.1</c:v>
                </c:pt>
                <c:pt idx="21">
                  <c:v>3.1</c:v>
                </c:pt>
                <c:pt idx="22">
                  <c:v>3.2</c:v>
                </c:pt>
                <c:pt idx="23">
                  <c:v>3.5</c:v>
                </c:pt>
                <c:pt idx="24">
                  <c:v>3.5</c:v>
                </c:pt>
                <c:pt idx="25">
                  <c:v>3.6</c:v>
                </c:pt>
                <c:pt idx="26">
                  <c:v>3.6</c:v>
                </c:pt>
                <c:pt idx="27">
                  <c:v>3.7</c:v>
                </c:pt>
                <c:pt idx="28">
                  <c:v>4.4000000000000004</c:v>
                </c:pt>
                <c:pt idx="29">
                  <c:v>4.4000000000000004</c:v>
                </c:pt>
              </c:numCache>
            </c:numRef>
          </c:val>
          <c:extLst xmlns:c16r2="http://schemas.microsoft.com/office/drawing/2015/06/chart">
            <c:ext xmlns:c16="http://schemas.microsoft.com/office/drawing/2014/chart" uri="{C3380CC4-5D6E-409C-BE32-E72D297353CC}">
              <c16:uniqueId val="{00000000-4C09-480A-A898-53F444E51E5B}"/>
            </c:ext>
          </c:extLst>
        </c:ser>
        <c:ser>
          <c:idx val="1"/>
          <c:order val="1"/>
          <c:tx>
            <c:strRef>
              <c:f>Arkusz1!$C$1</c:f>
              <c:strCache>
                <c:ptCount val="1"/>
                <c:pt idx="0">
                  <c:v>realny wzrost wynagrodzeń</c:v>
                </c:pt>
              </c:strCache>
            </c:strRef>
          </c:tx>
          <c:spPr>
            <a:solidFill>
              <a:srgbClr val="39417B"/>
            </a:solidFill>
          </c:spPr>
          <c:invertIfNegative val="0"/>
          <c:dLbls>
            <c:dLbl>
              <c:idx val="0"/>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2861848499902797E-3"/>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0"/>
                  <c:y val="-8.872508204974221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0"/>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7"/>
              <c:layout>
                <c:manualLayout>
                  <c:x val="-2.1430924249951399E-3"/>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8"/>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1"/>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2"/>
              <c:layout>
                <c:manualLayout>
                  <c:x val="-4.2861848499902797E-3"/>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4"/>
              <c:layout>
                <c:manualLayout>
                  <c:x val="-2.1430924249951399E-3"/>
                  <c:y val="-3.54900328198968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5"/>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6"/>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8"/>
              <c:layout>
                <c:manualLayout>
                  <c:x val="0"/>
                  <c:y val="-5.323504922984533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9"/>
              <c:layout>
                <c:manualLayout>
                  <c:x val="-2.1430924249951399E-3"/>
                  <c:y val="-5.3236446475231937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10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Arkusz1!$A$2:$A$31</c:f>
              <c:strCache>
                <c:ptCount val="30"/>
                <c:pt idx="0">
                  <c:v>Włochy</c:v>
                </c:pt>
                <c:pt idx="1">
                  <c:v>Wielka Brytania</c:v>
                </c:pt>
                <c:pt idx="2">
                  <c:v>Portugalia</c:v>
                </c:pt>
                <c:pt idx="3">
                  <c:v>Belgia</c:v>
                </c:pt>
                <c:pt idx="4">
                  <c:v>Francja</c:v>
                </c:pt>
                <c:pt idx="5">
                  <c:v>Austria</c:v>
                </c:pt>
                <c:pt idx="6">
                  <c:v>Finlandia</c:v>
                </c:pt>
                <c:pt idx="7">
                  <c:v>Holandia</c:v>
                </c:pt>
                <c:pt idx="8">
                  <c:v>strefa euro</c:v>
                </c:pt>
                <c:pt idx="9">
                  <c:v>Dania</c:v>
                </c:pt>
                <c:pt idx="10">
                  <c:v>Niemcy</c:v>
                </c:pt>
                <c:pt idx="11">
                  <c:v>Unia Europejska</c:v>
                </c:pt>
                <c:pt idx="12">
                  <c:v>Szwecja</c:v>
                </c:pt>
                <c:pt idx="13">
                  <c:v>Cypr</c:v>
                </c:pt>
                <c:pt idx="14">
                  <c:v>Hiszpania</c:v>
                </c:pt>
                <c:pt idx="15">
                  <c:v>Grecja</c:v>
                </c:pt>
                <c:pt idx="16">
                  <c:v>Chorwacja</c:v>
                </c:pt>
                <c:pt idx="17">
                  <c:v>Czechy</c:v>
                </c:pt>
                <c:pt idx="18">
                  <c:v>Estonia</c:v>
                </c:pt>
                <c:pt idx="19">
                  <c:v>Bułgaria</c:v>
                </c:pt>
                <c:pt idx="20">
                  <c:v>Litwa</c:v>
                </c:pt>
                <c:pt idx="21">
                  <c:v>Słowenia</c:v>
                </c:pt>
                <c:pt idx="22">
                  <c:v>Polska</c:v>
                </c:pt>
                <c:pt idx="23">
                  <c:v>Łotwa</c:v>
                </c:pt>
                <c:pt idx="24">
                  <c:v>Węgry</c:v>
                </c:pt>
                <c:pt idx="25">
                  <c:v>Irlandia</c:v>
                </c:pt>
                <c:pt idx="26">
                  <c:v>Słowacja</c:v>
                </c:pt>
                <c:pt idx="27">
                  <c:v>Rumunia</c:v>
                </c:pt>
                <c:pt idx="28">
                  <c:v>Luksemburg</c:v>
                </c:pt>
                <c:pt idx="29">
                  <c:v>Malta</c:v>
                </c:pt>
              </c:strCache>
            </c:strRef>
          </c:cat>
          <c:val>
            <c:numRef>
              <c:f>Arkusz1!$C$2:$C$31</c:f>
              <c:numCache>
                <c:formatCode>General</c:formatCode>
                <c:ptCount val="30"/>
                <c:pt idx="0">
                  <c:v>0.30000000000000021</c:v>
                </c:pt>
                <c:pt idx="1">
                  <c:v>-0.2</c:v>
                </c:pt>
                <c:pt idx="2">
                  <c:v>0</c:v>
                </c:pt>
                <c:pt idx="3">
                  <c:v>0.4</c:v>
                </c:pt>
                <c:pt idx="4">
                  <c:v>0.5</c:v>
                </c:pt>
                <c:pt idx="5">
                  <c:v>0.30000000000000021</c:v>
                </c:pt>
                <c:pt idx="6">
                  <c:v>0.30000000000000021</c:v>
                </c:pt>
                <c:pt idx="7">
                  <c:v>1.1000000000000001</c:v>
                </c:pt>
                <c:pt idx="8">
                  <c:v>0.7000000000000004</c:v>
                </c:pt>
                <c:pt idx="9">
                  <c:v>1.1000000000000001</c:v>
                </c:pt>
                <c:pt idx="10">
                  <c:v>1.3</c:v>
                </c:pt>
                <c:pt idx="11">
                  <c:v>0.8</c:v>
                </c:pt>
                <c:pt idx="12">
                  <c:v>1.1000000000000001</c:v>
                </c:pt>
                <c:pt idx="13">
                  <c:v>-0.1</c:v>
                </c:pt>
                <c:pt idx="14">
                  <c:v>-0.1</c:v>
                </c:pt>
                <c:pt idx="15">
                  <c:v>1</c:v>
                </c:pt>
                <c:pt idx="16">
                  <c:v>1</c:v>
                </c:pt>
                <c:pt idx="17">
                  <c:v>2.6</c:v>
                </c:pt>
                <c:pt idx="18">
                  <c:v>2.6</c:v>
                </c:pt>
                <c:pt idx="19">
                  <c:v>3.5</c:v>
                </c:pt>
                <c:pt idx="20">
                  <c:v>3.5</c:v>
                </c:pt>
                <c:pt idx="21">
                  <c:v>1.7</c:v>
                </c:pt>
                <c:pt idx="22">
                  <c:v>3.1</c:v>
                </c:pt>
                <c:pt idx="23">
                  <c:v>3.7</c:v>
                </c:pt>
                <c:pt idx="24">
                  <c:v>3.2</c:v>
                </c:pt>
                <c:pt idx="25">
                  <c:v>1.3</c:v>
                </c:pt>
                <c:pt idx="26">
                  <c:v>3.3</c:v>
                </c:pt>
                <c:pt idx="27">
                  <c:v>3.9</c:v>
                </c:pt>
                <c:pt idx="28">
                  <c:v>0.1</c:v>
                </c:pt>
                <c:pt idx="29">
                  <c:v>1.3</c:v>
                </c:pt>
              </c:numCache>
            </c:numRef>
          </c:val>
          <c:extLst xmlns:c16r2="http://schemas.microsoft.com/office/drawing/2015/06/chart">
            <c:ext xmlns:c16="http://schemas.microsoft.com/office/drawing/2014/chart" uri="{C3380CC4-5D6E-409C-BE32-E72D297353CC}">
              <c16:uniqueId val="{00000001-4C09-480A-A898-53F444E51E5B}"/>
            </c:ext>
          </c:extLst>
        </c:ser>
        <c:dLbls>
          <c:showLegendKey val="0"/>
          <c:showVal val="0"/>
          <c:showCatName val="0"/>
          <c:showSerName val="0"/>
          <c:showPercent val="0"/>
          <c:showBubbleSize val="0"/>
        </c:dLbls>
        <c:gapWidth val="150"/>
        <c:axId val="575800904"/>
        <c:axId val="575796200"/>
      </c:barChart>
      <c:catAx>
        <c:axId val="575800904"/>
        <c:scaling>
          <c:orientation val="minMax"/>
        </c:scaling>
        <c:delete val="0"/>
        <c:axPos val="l"/>
        <c:numFmt formatCode="General" sourceLinked="0"/>
        <c:majorTickMark val="out"/>
        <c:minorTickMark val="none"/>
        <c:tickLblPos val="low"/>
        <c:txPr>
          <a:bodyPr anchor="b" anchorCtr="1"/>
          <a:lstStyle/>
          <a:p>
            <a:pPr>
              <a:defRPr sz="1200" baseline="0">
                <a:solidFill>
                  <a:srgbClr val="565350"/>
                </a:solidFill>
                <a:latin typeface="Calibri" pitchFamily="34" charset="0"/>
              </a:defRPr>
            </a:pPr>
            <a:endParaRPr lang="pl-PL"/>
          </a:p>
        </c:txPr>
        <c:crossAx val="575796200"/>
        <c:crosses val="autoZero"/>
        <c:auto val="1"/>
        <c:lblAlgn val="ctr"/>
        <c:lblOffset val="100"/>
        <c:noMultiLvlLbl val="0"/>
      </c:catAx>
      <c:valAx>
        <c:axId val="575796200"/>
        <c:scaling>
          <c:orientation val="minMax"/>
        </c:scaling>
        <c:delete val="0"/>
        <c:axPos val="b"/>
        <c:majorGridlines>
          <c:spPr>
            <a:ln>
              <a:solidFill>
                <a:sysClr val="window" lastClr="FFFFFF"/>
              </a:solidFill>
            </a:ln>
          </c:spPr>
        </c:majorGridlines>
        <c:numFmt formatCode="General" sourceLinked="1"/>
        <c:majorTickMark val="out"/>
        <c:minorTickMark val="none"/>
        <c:tickLblPos val="nextTo"/>
        <c:txPr>
          <a:bodyPr/>
          <a:lstStyle/>
          <a:p>
            <a:pPr>
              <a:defRPr sz="1200" baseline="0">
                <a:solidFill>
                  <a:srgbClr val="565350"/>
                </a:solidFill>
                <a:latin typeface="Calibri" pitchFamily="34" charset="0"/>
              </a:defRPr>
            </a:pPr>
            <a:endParaRPr lang="pl-PL"/>
          </a:p>
        </c:txPr>
        <c:crossAx val="575800904"/>
        <c:crosses val="autoZero"/>
        <c:crossBetween val="between"/>
      </c:valAx>
    </c:plotArea>
    <c:legend>
      <c:legendPos val="b"/>
      <c:layout/>
      <c:overlay val="0"/>
    </c:legend>
    <c:plotVisOnly val="1"/>
    <c:dispBlanksAs val="gap"/>
    <c:showDLblsOverMax val="0"/>
  </c:chart>
  <c:spPr>
    <a:ln>
      <a:noFill/>
    </a:ln>
  </c:sp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29771566310507"/>
          <c:y val="1.0116704188396174E-2"/>
          <c:w val="0.80806391613794859"/>
          <c:h val="0.91487621569427768"/>
        </c:manualLayout>
      </c:layout>
      <c:barChart>
        <c:barDir val="bar"/>
        <c:grouping val="clustered"/>
        <c:varyColors val="0"/>
        <c:ser>
          <c:idx val="0"/>
          <c:order val="0"/>
          <c:tx>
            <c:strRef>
              <c:f>Arkusz1!$B$1</c:f>
              <c:strCache>
                <c:ptCount val="1"/>
                <c:pt idx="0">
                  <c:v>realna wydajność pracy</c:v>
                </c:pt>
              </c:strCache>
            </c:strRef>
          </c:tx>
          <c:spPr>
            <a:solidFill>
              <a:srgbClr val="60B9B1"/>
            </a:solidFill>
          </c:spPr>
          <c:invertIfNegative val="0"/>
          <c:dLbls>
            <c:dLbl>
              <c:idx val="3"/>
              <c:layout>
                <c:manualLayout>
                  <c:x val="-1.9636720667648502E-3"/>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0"/>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2"/>
              <c:layout>
                <c:manualLayout>
                  <c:x val="0"/>
                  <c:y val="3.3712600084280881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8"/>
              <c:layout>
                <c:manualLayout>
                  <c:x val="-5.8910162002945507E-3"/>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1"/>
              <c:layout>
                <c:manualLayout>
                  <c:x val="0"/>
                  <c:y val="5.0125313283208017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2"/>
              <c:layout>
                <c:manualLayout>
                  <c:x val="1.9635174469170734E-3"/>
                  <c:y val="3.3416875522138986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3"/>
              <c:layout>
                <c:manualLayout>
                  <c:x val="0"/>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4"/>
              <c:layout>
                <c:manualLayout>
                  <c:x val="-2.0232675771370764E-3"/>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6"/>
              <c:layout>
                <c:manualLayout>
                  <c:x val="0"/>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7"/>
              <c:layout>
                <c:manualLayout>
                  <c:x val="-2.0232675771370764E-3"/>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9"/>
              <c:layout>
                <c:manualLayout>
                  <c:x val="0"/>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95">
                <a:noFill/>
              </a:ln>
            </c:spPr>
            <c:txPr>
              <a:bodyPr/>
              <a:lstStyle/>
              <a:p>
                <a:pPr>
                  <a:defRPr sz="10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Arkusz1!$A$2:$A$31</c:f>
              <c:strCache>
                <c:ptCount val="30"/>
                <c:pt idx="0">
                  <c:v>Włochy</c:v>
                </c:pt>
                <c:pt idx="1">
                  <c:v>Cypr</c:v>
                </c:pt>
                <c:pt idx="2">
                  <c:v>Hiszpania</c:v>
                </c:pt>
                <c:pt idx="3">
                  <c:v>Holandia</c:v>
                </c:pt>
                <c:pt idx="4">
                  <c:v>Portugalia</c:v>
                </c:pt>
                <c:pt idx="5">
                  <c:v>Francja</c:v>
                </c:pt>
                <c:pt idx="6">
                  <c:v>strefa Euro</c:v>
                </c:pt>
                <c:pt idx="7">
                  <c:v>Grecja</c:v>
                </c:pt>
                <c:pt idx="8">
                  <c:v>Wielka Brytania</c:v>
                </c:pt>
                <c:pt idx="9">
                  <c:v>Belgia</c:v>
                </c:pt>
                <c:pt idx="10">
                  <c:v>Austria</c:v>
                </c:pt>
                <c:pt idx="11">
                  <c:v>Dania</c:v>
                </c:pt>
                <c:pt idx="12">
                  <c:v>Niemcy</c:v>
                </c:pt>
                <c:pt idx="13">
                  <c:v>Unia Europejska</c:v>
                </c:pt>
                <c:pt idx="14">
                  <c:v>Szwecja</c:v>
                </c:pt>
                <c:pt idx="15">
                  <c:v>Finlandia</c:v>
                </c:pt>
                <c:pt idx="16">
                  <c:v>Chorwacja</c:v>
                </c:pt>
                <c:pt idx="17">
                  <c:v>Luksemburg</c:v>
                </c:pt>
                <c:pt idx="18">
                  <c:v>Słowenia</c:v>
                </c:pt>
                <c:pt idx="19">
                  <c:v>Irlandia</c:v>
                </c:pt>
                <c:pt idx="20">
                  <c:v>Malta</c:v>
                </c:pt>
                <c:pt idx="21">
                  <c:v>Bułgaria</c:v>
                </c:pt>
                <c:pt idx="22">
                  <c:v>Słowacja</c:v>
                </c:pt>
                <c:pt idx="23">
                  <c:v>Litwa</c:v>
                </c:pt>
                <c:pt idx="24">
                  <c:v>Czechy</c:v>
                </c:pt>
                <c:pt idx="25">
                  <c:v>Estonia</c:v>
                </c:pt>
                <c:pt idx="26">
                  <c:v>Łotwa</c:v>
                </c:pt>
                <c:pt idx="27">
                  <c:v>Węgry</c:v>
                </c:pt>
                <c:pt idx="28">
                  <c:v>Polska</c:v>
                </c:pt>
                <c:pt idx="29">
                  <c:v>Rumunia</c:v>
                </c:pt>
              </c:strCache>
            </c:strRef>
          </c:cat>
          <c:val>
            <c:numRef>
              <c:f>Arkusz1!$B$2:$B$31</c:f>
              <c:numCache>
                <c:formatCode>General</c:formatCode>
                <c:ptCount val="30"/>
                <c:pt idx="0">
                  <c:v>0.3</c:v>
                </c:pt>
                <c:pt idx="1">
                  <c:v>0.3</c:v>
                </c:pt>
                <c:pt idx="2">
                  <c:v>0.3</c:v>
                </c:pt>
                <c:pt idx="3">
                  <c:v>0.5</c:v>
                </c:pt>
                <c:pt idx="4">
                  <c:v>0.7</c:v>
                </c:pt>
                <c:pt idx="5">
                  <c:v>0.7</c:v>
                </c:pt>
                <c:pt idx="6">
                  <c:v>0.7</c:v>
                </c:pt>
                <c:pt idx="7">
                  <c:v>0.7</c:v>
                </c:pt>
                <c:pt idx="8">
                  <c:v>0.8</c:v>
                </c:pt>
                <c:pt idx="9">
                  <c:v>0.8</c:v>
                </c:pt>
                <c:pt idx="10">
                  <c:v>0.8</c:v>
                </c:pt>
                <c:pt idx="11">
                  <c:v>0.9</c:v>
                </c:pt>
                <c:pt idx="12">
                  <c:v>0.9</c:v>
                </c:pt>
                <c:pt idx="13">
                  <c:v>1</c:v>
                </c:pt>
                <c:pt idx="14">
                  <c:v>1</c:v>
                </c:pt>
                <c:pt idx="15">
                  <c:v>1.1000000000000001</c:v>
                </c:pt>
                <c:pt idx="16">
                  <c:v>1.1000000000000001</c:v>
                </c:pt>
                <c:pt idx="17">
                  <c:v>1.3</c:v>
                </c:pt>
                <c:pt idx="18">
                  <c:v>1.5</c:v>
                </c:pt>
                <c:pt idx="19">
                  <c:v>1.5</c:v>
                </c:pt>
                <c:pt idx="20">
                  <c:v>1.6</c:v>
                </c:pt>
                <c:pt idx="21">
                  <c:v>2.2000000000000002</c:v>
                </c:pt>
                <c:pt idx="22">
                  <c:v>2.2999999999999998</c:v>
                </c:pt>
                <c:pt idx="23">
                  <c:v>2.6</c:v>
                </c:pt>
                <c:pt idx="24">
                  <c:v>2.7</c:v>
                </c:pt>
                <c:pt idx="25">
                  <c:v>2.7</c:v>
                </c:pt>
                <c:pt idx="26">
                  <c:v>3</c:v>
                </c:pt>
                <c:pt idx="27">
                  <c:v>3.1</c:v>
                </c:pt>
                <c:pt idx="28">
                  <c:v>3.2</c:v>
                </c:pt>
                <c:pt idx="29">
                  <c:v>3.3</c:v>
                </c:pt>
              </c:numCache>
            </c:numRef>
          </c:val>
        </c:ser>
        <c:ser>
          <c:idx val="1"/>
          <c:order val="1"/>
          <c:tx>
            <c:strRef>
              <c:f>Arkusz1!$C$1</c:f>
              <c:strCache>
                <c:ptCount val="1"/>
                <c:pt idx="0">
                  <c:v>realny wzrost wynagrodzeń</c:v>
                </c:pt>
              </c:strCache>
            </c:strRef>
          </c:tx>
          <c:spPr>
            <a:solidFill>
              <a:srgbClr val="39417B"/>
            </a:solidFill>
          </c:spPr>
          <c:invertIfNegative val="0"/>
          <c:dLbls>
            <c:dLbl>
              <c:idx val="0"/>
              <c:layout>
                <c:manualLayout>
                  <c:x val="-3.7092810414868571E-17"/>
                  <c:y val="-5.056890012642101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0465351542741156E-3"/>
                  <c:y val="-3.371260008428150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0"/>
                  <c:y val="-3.371260008428150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3.7092810414868571E-17"/>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3.7092810414868571E-17"/>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3"/>
              <c:layout>
                <c:manualLayout>
                  <c:x val="-4.0465351542741529E-3"/>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5"/>
              <c:layout>
                <c:manualLayout>
                  <c:x val="-3.7092810414868571E-17"/>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6"/>
              <c:layout>
                <c:manualLayout>
                  <c:x val="0"/>
                  <c:y val="-5.0125313283208017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7"/>
              <c:layout>
                <c:manualLayout>
                  <c:x val="-3.600023867952634E-17"/>
                  <c:y val="-5.0125313283208017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9"/>
              <c:layout>
                <c:manualLayout>
                  <c:x val="0"/>
                  <c:y val="-6.7425200168563003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0"/>
              <c:layout>
                <c:manualLayout>
                  <c:x val="0"/>
                  <c:y val="-3.371260008428150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4"/>
              <c:layout>
                <c:manualLayout>
                  <c:x val="-3.9273441335297005E-3"/>
                  <c:y val="-3.3416875522138678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5"/>
              <c:layout>
                <c:manualLayout>
                  <c:x val="0"/>
                  <c:y val="-5.0568900126422255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8"/>
              <c:layout>
                <c:manualLayout>
                  <c:x val="-4.0465351542741529E-3"/>
                  <c:y val="-3.371260008428150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95">
                <a:noFill/>
              </a:ln>
            </c:spPr>
            <c:txPr>
              <a:bodyPr/>
              <a:lstStyle/>
              <a:p>
                <a:pPr>
                  <a:defRPr sz="1000" baseline="0">
                    <a:solidFill>
                      <a:srgbClr val="565350"/>
                    </a:solidFill>
                    <a:latin typeface="Calibri" pitchFamily="34" charset="0"/>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Arkusz1!$A$2:$A$31</c:f>
              <c:strCache>
                <c:ptCount val="30"/>
                <c:pt idx="0">
                  <c:v>Włochy</c:v>
                </c:pt>
                <c:pt idx="1">
                  <c:v>Cypr</c:v>
                </c:pt>
                <c:pt idx="2">
                  <c:v>Hiszpania</c:v>
                </c:pt>
                <c:pt idx="3">
                  <c:v>Holandia</c:v>
                </c:pt>
                <c:pt idx="4">
                  <c:v>Portugalia</c:v>
                </c:pt>
                <c:pt idx="5">
                  <c:v>Francja</c:v>
                </c:pt>
                <c:pt idx="6">
                  <c:v>strefa Euro</c:v>
                </c:pt>
                <c:pt idx="7">
                  <c:v>Grecja</c:v>
                </c:pt>
                <c:pt idx="8">
                  <c:v>Wielka Brytania</c:v>
                </c:pt>
                <c:pt idx="9">
                  <c:v>Belgia</c:v>
                </c:pt>
                <c:pt idx="10">
                  <c:v>Austria</c:v>
                </c:pt>
                <c:pt idx="11">
                  <c:v>Dania</c:v>
                </c:pt>
                <c:pt idx="12">
                  <c:v>Niemcy</c:v>
                </c:pt>
                <c:pt idx="13">
                  <c:v>Unia Europejska</c:v>
                </c:pt>
                <c:pt idx="14">
                  <c:v>Szwecja</c:v>
                </c:pt>
                <c:pt idx="15">
                  <c:v>Finlandia</c:v>
                </c:pt>
                <c:pt idx="16">
                  <c:v>Chorwacja</c:v>
                </c:pt>
                <c:pt idx="17">
                  <c:v>Luksemburg</c:v>
                </c:pt>
                <c:pt idx="18">
                  <c:v>Słowenia</c:v>
                </c:pt>
                <c:pt idx="19">
                  <c:v>Irlandia</c:v>
                </c:pt>
                <c:pt idx="20">
                  <c:v>Malta</c:v>
                </c:pt>
                <c:pt idx="21">
                  <c:v>Bułgaria</c:v>
                </c:pt>
                <c:pt idx="22">
                  <c:v>Słowacja</c:v>
                </c:pt>
                <c:pt idx="23">
                  <c:v>Litwa</c:v>
                </c:pt>
                <c:pt idx="24">
                  <c:v>Czechy</c:v>
                </c:pt>
                <c:pt idx="25">
                  <c:v>Estonia</c:v>
                </c:pt>
                <c:pt idx="26">
                  <c:v>Łotwa</c:v>
                </c:pt>
                <c:pt idx="27">
                  <c:v>Węgry</c:v>
                </c:pt>
                <c:pt idx="28">
                  <c:v>Polska</c:v>
                </c:pt>
                <c:pt idx="29">
                  <c:v>Rumunia</c:v>
                </c:pt>
              </c:strCache>
            </c:strRef>
          </c:cat>
          <c:val>
            <c:numRef>
              <c:f>Arkusz1!$C$2:$C$31</c:f>
              <c:numCache>
                <c:formatCode>General</c:formatCode>
                <c:ptCount val="30"/>
                <c:pt idx="0">
                  <c:v>0.3</c:v>
                </c:pt>
                <c:pt idx="1">
                  <c:v>-0.1</c:v>
                </c:pt>
                <c:pt idx="2">
                  <c:v>-0.1</c:v>
                </c:pt>
                <c:pt idx="3">
                  <c:v>1.1000000000000001</c:v>
                </c:pt>
                <c:pt idx="4">
                  <c:v>0</c:v>
                </c:pt>
                <c:pt idx="5">
                  <c:v>0.5</c:v>
                </c:pt>
                <c:pt idx="6">
                  <c:v>0.7</c:v>
                </c:pt>
                <c:pt idx="7">
                  <c:v>1</c:v>
                </c:pt>
                <c:pt idx="8">
                  <c:v>-0.2</c:v>
                </c:pt>
                <c:pt idx="9">
                  <c:v>0.4</c:v>
                </c:pt>
                <c:pt idx="10">
                  <c:v>0.3</c:v>
                </c:pt>
                <c:pt idx="11">
                  <c:v>1.1000000000000001</c:v>
                </c:pt>
                <c:pt idx="12">
                  <c:v>1.3</c:v>
                </c:pt>
                <c:pt idx="13">
                  <c:v>0.8</c:v>
                </c:pt>
                <c:pt idx="14">
                  <c:v>1.1000000000000001</c:v>
                </c:pt>
                <c:pt idx="15">
                  <c:v>0.3</c:v>
                </c:pt>
                <c:pt idx="16">
                  <c:v>1</c:v>
                </c:pt>
                <c:pt idx="17">
                  <c:v>0.1</c:v>
                </c:pt>
                <c:pt idx="18">
                  <c:v>1.7</c:v>
                </c:pt>
                <c:pt idx="19">
                  <c:v>1.3</c:v>
                </c:pt>
                <c:pt idx="20">
                  <c:v>1.3</c:v>
                </c:pt>
                <c:pt idx="21">
                  <c:v>3.5</c:v>
                </c:pt>
                <c:pt idx="22">
                  <c:v>3.3</c:v>
                </c:pt>
                <c:pt idx="23">
                  <c:v>3.5</c:v>
                </c:pt>
                <c:pt idx="24">
                  <c:v>2.6</c:v>
                </c:pt>
                <c:pt idx="25">
                  <c:v>2.6</c:v>
                </c:pt>
                <c:pt idx="26">
                  <c:v>3.7</c:v>
                </c:pt>
                <c:pt idx="27">
                  <c:v>3.2</c:v>
                </c:pt>
                <c:pt idx="28">
                  <c:v>3.1</c:v>
                </c:pt>
                <c:pt idx="29">
                  <c:v>3.9</c:v>
                </c:pt>
              </c:numCache>
            </c:numRef>
          </c:val>
        </c:ser>
        <c:dLbls>
          <c:showLegendKey val="0"/>
          <c:showVal val="0"/>
          <c:showCatName val="0"/>
          <c:showSerName val="0"/>
          <c:showPercent val="0"/>
          <c:showBubbleSize val="0"/>
        </c:dLbls>
        <c:gapWidth val="150"/>
        <c:axId val="575788752"/>
        <c:axId val="575795024"/>
      </c:barChart>
      <c:catAx>
        <c:axId val="575788752"/>
        <c:scaling>
          <c:orientation val="minMax"/>
        </c:scaling>
        <c:delete val="0"/>
        <c:axPos val="l"/>
        <c:numFmt formatCode="General" sourceLinked="0"/>
        <c:majorTickMark val="out"/>
        <c:minorTickMark val="none"/>
        <c:tickLblPos val="low"/>
        <c:txPr>
          <a:bodyPr/>
          <a:lstStyle/>
          <a:p>
            <a:pPr>
              <a:defRPr baseline="0">
                <a:solidFill>
                  <a:srgbClr val="565350"/>
                </a:solidFill>
                <a:latin typeface="Calibri" pitchFamily="34" charset="0"/>
              </a:defRPr>
            </a:pPr>
            <a:endParaRPr lang="pl-PL"/>
          </a:p>
        </c:txPr>
        <c:crossAx val="575795024"/>
        <c:crosses val="autoZero"/>
        <c:auto val="1"/>
        <c:lblAlgn val="ctr"/>
        <c:lblOffset val="100"/>
        <c:noMultiLvlLbl val="0"/>
      </c:catAx>
      <c:valAx>
        <c:axId val="575795024"/>
        <c:scaling>
          <c:orientation val="minMax"/>
        </c:scaling>
        <c:delete val="0"/>
        <c:axPos val="b"/>
        <c:majorGridlines>
          <c:spPr>
            <a:ln>
              <a:solidFill>
                <a:sysClr val="window" lastClr="FFFFFF"/>
              </a:solidFill>
            </a:ln>
          </c:spPr>
        </c:majorGridlines>
        <c:numFmt formatCode="General" sourceLinked="1"/>
        <c:majorTickMark val="out"/>
        <c:minorTickMark val="none"/>
        <c:tickLblPos val="nextTo"/>
        <c:txPr>
          <a:bodyPr/>
          <a:lstStyle/>
          <a:p>
            <a:pPr>
              <a:defRPr baseline="0">
                <a:solidFill>
                  <a:srgbClr val="565350"/>
                </a:solidFill>
                <a:latin typeface="Calibri" pitchFamily="34" charset="0"/>
              </a:defRPr>
            </a:pPr>
            <a:endParaRPr lang="pl-PL"/>
          </a:p>
        </c:txPr>
        <c:crossAx val="575788752"/>
        <c:crosses val="autoZero"/>
        <c:crossBetween val="between"/>
      </c:valAx>
    </c:plotArea>
    <c:legend>
      <c:legendPos val="b"/>
      <c:layout/>
      <c:overlay val="0"/>
      <c:txPr>
        <a:bodyPr/>
        <a:lstStyle/>
        <a:p>
          <a:pPr>
            <a:defRPr sz="1200" baseline="0">
              <a:solidFill>
                <a:srgbClr val="565350"/>
              </a:solidFill>
              <a:latin typeface="Calibri" pitchFamily="34" charset="0"/>
            </a:defRPr>
          </a:pPr>
          <a:endParaRPr lang="pl-PL"/>
        </a:p>
      </c:txPr>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EDA86-5A6F-4E0A-B19B-A7A27F1C5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1361</Words>
  <Characters>8170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9512</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2017-12-28T09:44:00Z</dcterms:modified>
</cp:coreProperties>
</file>